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E94F5" w14:textId="77777777" w:rsidR="00123C27" w:rsidRDefault="00255809" w:rsidP="00123C27">
      <w:pPr>
        <w:spacing w:after="0" w:line="240" w:lineRule="auto"/>
        <w:jc w:val="center"/>
        <w:rPr>
          <w:b/>
        </w:rPr>
      </w:pPr>
      <w:r w:rsidRPr="00123C27">
        <w:rPr>
          <w:b/>
        </w:rPr>
        <w:t xml:space="preserve">Proposal for the Department of Psychology to </w:t>
      </w:r>
      <w:r w:rsidR="00123C27" w:rsidRPr="00123C27">
        <w:rPr>
          <w:b/>
        </w:rPr>
        <w:t xml:space="preserve">award </w:t>
      </w:r>
      <w:r w:rsidRPr="00123C27">
        <w:rPr>
          <w:b/>
        </w:rPr>
        <w:t xml:space="preserve">the </w:t>
      </w:r>
    </w:p>
    <w:p w14:paraId="70D545EE" w14:textId="77777777" w:rsidR="00255809" w:rsidRPr="00123C27" w:rsidRDefault="00255809" w:rsidP="00123C27">
      <w:pPr>
        <w:spacing w:after="0" w:line="240" w:lineRule="auto"/>
        <w:jc w:val="center"/>
        <w:rPr>
          <w:b/>
        </w:rPr>
      </w:pPr>
      <w:r w:rsidRPr="00123C27">
        <w:rPr>
          <w:b/>
        </w:rPr>
        <w:t>Master of Science</w:t>
      </w:r>
      <w:r w:rsidR="00123C27">
        <w:rPr>
          <w:b/>
        </w:rPr>
        <w:t xml:space="preserve"> </w:t>
      </w:r>
      <w:r w:rsidR="00F04FCC">
        <w:rPr>
          <w:b/>
        </w:rPr>
        <w:t>rather than the</w:t>
      </w:r>
      <w:r w:rsidRPr="00123C27">
        <w:rPr>
          <w:b/>
        </w:rPr>
        <w:t xml:space="preserve"> Master of Arts</w:t>
      </w:r>
    </w:p>
    <w:p w14:paraId="40E8ADE0" w14:textId="77777777" w:rsidR="00255809" w:rsidRDefault="00255809" w:rsidP="00AA78E9"/>
    <w:p w14:paraId="3963524D" w14:textId="7BF82B13" w:rsidR="006C05DE" w:rsidRDefault="006C05DE" w:rsidP="00AA78E9">
      <w:r>
        <w:t xml:space="preserve">The </w:t>
      </w:r>
      <w:r w:rsidR="00255809">
        <w:t>Department of P</w:t>
      </w:r>
      <w:r>
        <w:t xml:space="preserve">sychology </w:t>
      </w:r>
      <w:r w:rsidR="00255809">
        <w:t xml:space="preserve">at Ohio State </w:t>
      </w:r>
      <w:r w:rsidR="003E630D">
        <w:t>offers a PhD</w:t>
      </w:r>
      <w:r>
        <w:t xml:space="preserve"> in psychology as its only graduat</w:t>
      </w:r>
      <w:r w:rsidR="00735225">
        <w:t>e program.  However, like many psychology departments</w:t>
      </w:r>
      <w:r w:rsidR="003E630D">
        <w:t xml:space="preserve"> at</w:t>
      </w:r>
      <w:r>
        <w:t xml:space="preserve"> Big 10 universities and universities throughout the nation, students earn a Master’s degree </w:t>
      </w:r>
      <w:r w:rsidR="00255809">
        <w:t>i</w:t>
      </w:r>
      <w:r w:rsidR="003E630D">
        <w:t>n route to the PhD.</w:t>
      </w:r>
      <w:r>
        <w:t xml:space="preserve"> The Master’s degree is typically awarded at the end of the 2</w:t>
      </w:r>
      <w:r w:rsidRPr="006C05DE">
        <w:rPr>
          <w:vertAlign w:val="superscript"/>
        </w:rPr>
        <w:t>nd</w:t>
      </w:r>
      <w:r w:rsidR="003E630D">
        <w:t xml:space="preserve"> year of PhD </w:t>
      </w:r>
      <w:r>
        <w:t>study.   The department does not admit students to a terminal Master’s program, though some graduate stude</w:t>
      </w:r>
      <w:r w:rsidR="003E630D">
        <w:t>nts who matriculate into the PhD</w:t>
      </w:r>
      <w:r>
        <w:t xml:space="preserve"> program choose, for personal or professional reasons, to terminate their studies a</w:t>
      </w:r>
      <w:r w:rsidR="003E630D">
        <w:t>nd</w:t>
      </w:r>
      <w:r>
        <w:t xml:space="preserve"> receive the Master’s degree as a terminal degree if they complete all requirements of </w:t>
      </w:r>
      <w:r w:rsidR="003E630D">
        <w:t>a</w:t>
      </w:r>
      <w:r>
        <w:t xml:space="preserve"> Master’s degree, including </w:t>
      </w:r>
      <w:r w:rsidR="00787C91">
        <w:t xml:space="preserve">the defense of </w:t>
      </w:r>
      <w:r>
        <w:t xml:space="preserve">a thesis.  </w:t>
      </w:r>
    </w:p>
    <w:p w14:paraId="32592B57" w14:textId="107BA64C" w:rsidR="006C05DE" w:rsidRDefault="006C05DE" w:rsidP="00AA78E9">
      <w:r>
        <w:t xml:space="preserve">Currently, </w:t>
      </w:r>
      <w:r w:rsidR="00787C91">
        <w:t xml:space="preserve">our students </w:t>
      </w:r>
      <w:r>
        <w:t xml:space="preserve">are awarded the Master of Arts (MA) degree. In this document, we </w:t>
      </w:r>
      <w:r w:rsidR="00735225">
        <w:t xml:space="preserve">articulate the rationale behind our </w:t>
      </w:r>
      <w:r w:rsidR="00787C91">
        <w:t>request that the University allow the D</w:t>
      </w:r>
      <w:r>
        <w:t xml:space="preserve">epartment to offer the </w:t>
      </w:r>
      <w:r w:rsidR="003E630D">
        <w:t>Master of Science (</w:t>
      </w:r>
      <w:r w:rsidR="00533578">
        <w:t>MS</w:t>
      </w:r>
      <w:r w:rsidR="003E630D">
        <w:t>)</w:t>
      </w:r>
      <w:r w:rsidR="00533578">
        <w:t xml:space="preserve"> </w:t>
      </w:r>
      <w:r>
        <w:t>to both categories of student</w:t>
      </w:r>
      <w:r w:rsidR="003E630D">
        <w:t>s (those continuing into the PhD</w:t>
      </w:r>
      <w:r>
        <w:t xml:space="preserve"> and those who choose to terminate after completing a Master’s thesis) rather than the MA.  </w:t>
      </w:r>
      <w:r w:rsidR="00735225">
        <w:t>Note that t</w:t>
      </w:r>
      <w:r>
        <w:t>his proposal was initiated by our graduate students, which reflects the strength of their conviction that they are not satisfied with rece</w:t>
      </w:r>
      <w:r w:rsidR="00735225">
        <w:t>ipt of an MA rather than an MS and feel that their interests would be better served</w:t>
      </w:r>
      <w:r w:rsidR="00787C91">
        <w:t>, and their training better acknowledged</w:t>
      </w:r>
      <w:proofErr w:type="gramStart"/>
      <w:r w:rsidR="00787C91">
        <w:t xml:space="preserve">, </w:t>
      </w:r>
      <w:r w:rsidR="00735225">
        <w:t xml:space="preserve"> if</w:t>
      </w:r>
      <w:proofErr w:type="gramEnd"/>
      <w:r w:rsidR="00735225">
        <w:t xml:space="preserve"> they received the MS degree after completion of the thesis at the end of their 2</w:t>
      </w:r>
      <w:r w:rsidR="00735225" w:rsidRPr="00735225">
        <w:rPr>
          <w:vertAlign w:val="superscript"/>
        </w:rPr>
        <w:t>nd</w:t>
      </w:r>
      <w:r w:rsidR="00735225">
        <w:t xml:space="preserve"> year in our graduate program. The </w:t>
      </w:r>
      <w:proofErr w:type="gramStart"/>
      <w:r w:rsidR="00735225">
        <w:t xml:space="preserve">faculty </w:t>
      </w:r>
      <w:r w:rsidR="00787C91">
        <w:t xml:space="preserve">strongly </w:t>
      </w:r>
      <w:r w:rsidR="00735225">
        <w:t>concur</w:t>
      </w:r>
      <w:proofErr w:type="gramEnd"/>
      <w:r w:rsidR="00735225">
        <w:t xml:space="preserve">.  </w:t>
      </w:r>
      <w:r w:rsidR="00787C91">
        <w:t>Below, w</w:t>
      </w:r>
      <w:r w:rsidR="00735225">
        <w:t>e provide data supporting the sentiment of the students an</w:t>
      </w:r>
      <w:r w:rsidR="00787C91">
        <w:t>d faculty on this issue</w:t>
      </w:r>
      <w:r w:rsidR="00735225">
        <w:t xml:space="preserve">. </w:t>
      </w:r>
    </w:p>
    <w:p w14:paraId="4732E42B" w14:textId="77777777" w:rsidR="00A61B42" w:rsidRDefault="00123C27" w:rsidP="00AA78E9">
      <w:r>
        <w:t>Note that w</w:t>
      </w:r>
      <w:r w:rsidR="00735225">
        <w:t xml:space="preserve">e do </w:t>
      </w:r>
      <w:r w:rsidR="00735225" w:rsidRPr="008F0266">
        <w:rPr>
          <w:b/>
        </w:rPr>
        <w:t xml:space="preserve">not </w:t>
      </w:r>
      <w:r w:rsidR="00735225">
        <w:t xml:space="preserve">propose creating a new graduate degree program or modifying our current program.  We are </w:t>
      </w:r>
      <w:r w:rsidR="00735225" w:rsidRPr="008F0266">
        <w:rPr>
          <w:b/>
        </w:rPr>
        <w:t>not</w:t>
      </w:r>
      <w:r w:rsidR="00735225">
        <w:t xml:space="preserve"> proposing any changes to our curriculum or staffing.  No additional resources are required </w:t>
      </w:r>
      <w:r>
        <w:t>from the Department of Psychology, the College of Arts and Sciences, or the Graduate School</w:t>
      </w:r>
      <w:r w:rsidR="00735225">
        <w:t xml:space="preserve">.  </w:t>
      </w:r>
      <w:r w:rsidR="008F0266">
        <w:t>This change would have no</w:t>
      </w:r>
      <w:r w:rsidR="00735225">
        <w:t xml:space="preserve"> effect on </w:t>
      </w:r>
      <w:r w:rsidR="008F0266">
        <w:t>faculty or administrative workload or graduate student</w:t>
      </w:r>
      <w:r w:rsidR="00735225">
        <w:t xml:space="preserve"> enrollments</w:t>
      </w:r>
      <w:r w:rsidR="00A61B42">
        <w:t>.</w:t>
      </w:r>
    </w:p>
    <w:p w14:paraId="21E07A81" w14:textId="0668296E" w:rsidR="00313A4B" w:rsidRDefault="00735225" w:rsidP="00AA78E9">
      <w:r>
        <w:t xml:space="preserve"> </w:t>
      </w:r>
    </w:p>
    <w:p w14:paraId="3BC86ECC" w14:textId="77777777" w:rsidR="006C05DE" w:rsidRPr="00123C27" w:rsidRDefault="006C05DE" w:rsidP="00533578">
      <w:pPr>
        <w:jc w:val="center"/>
        <w:rPr>
          <w:b/>
        </w:rPr>
      </w:pPr>
      <w:r w:rsidRPr="00123C27">
        <w:rPr>
          <w:b/>
        </w:rPr>
        <w:t>Psychology is a Science</w:t>
      </w:r>
      <w:r w:rsidR="00533578" w:rsidRPr="00123C27">
        <w:rPr>
          <w:b/>
        </w:rPr>
        <w:t>, at OSU and Elsewhere</w:t>
      </w:r>
    </w:p>
    <w:p w14:paraId="134F49F9" w14:textId="37A3CF63" w:rsidR="00123C27" w:rsidRDefault="00552C63" w:rsidP="003E630D">
      <w:r>
        <w:t xml:space="preserve">The </w:t>
      </w:r>
      <w:r w:rsidR="00A61B42">
        <w:t xml:space="preserve">strongest evidence in support of this proposal, and perhaps a sufficient one, is the fact that psychology at OSU and elsewhere is clearly recognized as a science.  The </w:t>
      </w:r>
      <w:r>
        <w:t>first course on psychology at Ohio State</w:t>
      </w:r>
      <w:r w:rsidR="00626589">
        <w:t xml:space="preserve"> was offered </w:t>
      </w:r>
      <w:r w:rsidR="001F605F">
        <w:t xml:space="preserve">by the Department of Philosophy </w:t>
      </w:r>
      <w:r w:rsidR="00626589">
        <w:t>in 187</w:t>
      </w:r>
      <w:r w:rsidR="009C499A">
        <w:t>9</w:t>
      </w:r>
      <w:r w:rsidR="00626589">
        <w:t xml:space="preserve">, the </w:t>
      </w:r>
      <w:r w:rsidR="00F26D6A">
        <w:t>same year</w:t>
      </w:r>
      <w:r w:rsidR="007C2F9F">
        <w:t xml:space="preserve"> </w:t>
      </w:r>
      <w:r w:rsidR="001F605F">
        <w:t xml:space="preserve">the physiologist </w:t>
      </w:r>
      <w:r w:rsidR="007C2F9F">
        <w:t>Wilhelm Wundt established the first experimental psychology lab</w:t>
      </w:r>
      <w:r w:rsidR="00306CF8">
        <w:t>oratory</w:t>
      </w:r>
      <w:r w:rsidR="007C2F9F">
        <w:t xml:space="preserve"> at the University of Leipzig</w:t>
      </w:r>
      <w:r w:rsidR="00C5219E">
        <w:t xml:space="preserve">. Wundt’s laboratory – </w:t>
      </w:r>
      <w:r w:rsidR="001F605F">
        <w:t xml:space="preserve">whose founding is </w:t>
      </w:r>
      <w:r w:rsidR="00C5219E">
        <w:t xml:space="preserve">generally considered the seminal event in the </w:t>
      </w:r>
      <w:r w:rsidR="001F605F">
        <w:t>emergence</w:t>
      </w:r>
      <w:r w:rsidR="00C5219E">
        <w:t xml:space="preserve"> of psychology as a unique scientific discipline – was devoted to </w:t>
      </w:r>
      <w:r w:rsidR="001F605F">
        <w:t xml:space="preserve">identifying the sensory process and to </w:t>
      </w:r>
      <w:r w:rsidR="00C5219E">
        <w:t xml:space="preserve">the decomposition of mental processes into </w:t>
      </w:r>
      <w:r w:rsidR="001F605F">
        <w:t xml:space="preserve">component sub-processes by means of the reaction time experiment. </w:t>
      </w:r>
      <w:r w:rsidR="00DF3365">
        <w:t xml:space="preserve"> Wundt’s approach </w:t>
      </w:r>
      <w:r w:rsidR="00306CF8">
        <w:t xml:space="preserve">– very different from the methods of philosophy—was instrumental in the training of </w:t>
      </w:r>
      <w:r w:rsidR="00EB4901">
        <w:t>experimental</w:t>
      </w:r>
      <w:r w:rsidR="00306CF8">
        <w:t xml:space="preserve"> psychologists, who founded an independent Department of Psychology at Ohio State in 1907.  Today, Wundt’s scientific study of the mind </w:t>
      </w:r>
      <w:r w:rsidR="00530218">
        <w:t>is</w:t>
      </w:r>
      <w:r w:rsidR="00DF3365">
        <w:t xml:space="preserve"> still in evidence at Ohio State</w:t>
      </w:r>
      <w:r w:rsidR="00530218">
        <w:t xml:space="preserve">, where the techniques and findings of Victorian experimental psychology have evolved into the modern specializations of cognitive, social, developmental, </w:t>
      </w:r>
      <w:r w:rsidR="003E630D">
        <w:t xml:space="preserve">clinical, </w:t>
      </w:r>
      <w:r w:rsidR="00530218">
        <w:t>and behavioral neuroscience</w:t>
      </w:r>
      <w:r w:rsidR="00306CF8">
        <w:t xml:space="preserve"> in the </w:t>
      </w:r>
      <w:r w:rsidR="00306CF8">
        <w:lastRenderedPageBreak/>
        <w:t xml:space="preserve">Department of Psychology </w:t>
      </w:r>
      <w:r w:rsidR="00872C11">
        <w:t>–</w:t>
      </w:r>
      <w:r w:rsidR="00306CF8">
        <w:t xml:space="preserve"> </w:t>
      </w:r>
      <w:r w:rsidR="00872C11">
        <w:t xml:space="preserve">though </w:t>
      </w:r>
      <w:r w:rsidR="00530218">
        <w:t>now equipped by measurement and analytic tools far beyond Wundt’s imagination.</w:t>
      </w:r>
    </w:p>
    <w:p w14:paraId="63D5A255" w14:textId="3CD467FF" w:rsidR="003E08FA" w:rsidRDefault="00EB4901" w:rsidP="00123C27">
      <w:r>
        <w:t xml:space="preserve">Ohio State achieved its eminence in psychology by focusing on a number of core areas of psychology (cognition, </w:t>
      </w:r>
      <w:r w:rsidR="003E630D">
        <w:t xml:space="preserve">clinical, </w:t>
      </w:r>
      <w:r>
        <w:t xml:space="preserve">social, developmental, quantitative methods, and behavioral neuroscience), and building strong research and graduate training programs in these areas. </w:t>
      </w:r>
      <w:r w:rsidR="003E630D">
        <w:t xml:space="preserve">Our students take several courses in research design and data </w:t>
      </w:r>
      <w:proofErr w:type="gramStart"/>
      <w:r w:rsidR="003E630D">
        <w:t>analysis,</w:t>
      </w:r>
      <w:proofErr w:type="gramEnd"/>
      <w:r w:rsidR="003E630D">
        <w:t xml:space="preserve"> learn to use psychometric</w:t>
      </w:r>
      <w:r w:rsidR="00B23F92">
        <w:t>,</w:t>
      </w:r>
      <w:r w:rsidR="003E630D">
        <w:t xml:space="preserve"> physiological</w:t>
      </w:r>
      <w:r w:rsidR="00B23F92">
        <w:t xml:space="preserve">, and contemporary </w:t>
      </w:r>
      <w:proofErr w:type="spellStart"/>
      <w:r w:rsidR="00B23F92">
        <w:t>neuroscientific</w:t>
      </w:r>
      <w:proofErr w:type="spellEnd"/>
      <w:r w:rsidR="003E630D">
        <w:t xml:space="preserve"> instrument</w:t>
      </w:r>
      <w:r w:rsidR="00B23F92">
        <w:t>s and</w:t>
      </w:r>
      <w:r w:rsidR="003E630D">
        <w:t xml:space="preserve"> procedures to quantify the inputs and outputs of human cognition and behavior, and develop and </w:t>
      </w:r>
      <w:r w:rsidR="00F52100">
        <w:t xml:space="preserve">empirical </w:t>
      </w:r>
      <w:r w:rsidR="003E630D">
        <w:t>test theory about mental experience</w:t>
      </w:r>
      <w:r w:rsidR="00F52100">
        <w:t xml:space="preserve"> using the scientific method</w:t>
      </w:r>
      <w:r w:rsidR="00B23F92">
        <w:t>.  Our students and faculty</w:t>
      </w:r>
      <w:r w:rsidR="003E630D">
        <w:t xml:space="preserve"> publish their findings in </w:t>
      </w:r>
      <w:r w:rsidR="00F52100">
        <w:t>empirical</w:t>
      </w:r>
      <w:r w:rsidR="00B23F92">
        <w:t>, scientific</w:t>
      </w:r>
      <w:r w:rsidR="00F52100">
        <w:t xml:space="preserve"> journals recognized and read across the world</w:t>
      </w:r>
      <w:r w:rsidR="003E630D">
        <w:t xml:space="preserve">. </w:t>
      </w:r>
    </w:p>
    <w:p w14:paraId="15C17EA8" w14:textId="3BA687B1" w:rsidR="006D6758" w:rsidRDefault="00EB4901" w:rsidP="00123C27">
      <w:r>
        <w:t xml:space="preserve">Our approach </w:t>
      </w:r>
      <w:r w:rsidR="00133C38">
        <w:t xml:space="preserve">over the last century </w:t>
      </w:r>
      <w:r>
        <w:t>was the “standard” model in the field of psychology for much of the twentieth century, as research psychologists worked hard to establish psychology as a core science discipline. Through these efforts, ps</w:t>
      </w:r>
      <w:r w:rsidR="00F52100">
        <w:t>ychology became a “hub science”</w:t>
      </w:r>
      <w:r>
        <w:t xml:space="preserve"> positioned between the biological and medical sciences on the one hand and the social sciences on the other.</w:t>
      </w:r>
      <w:r w:rsidR="0039312A">
        <w:t xml:space="preserve"> This role should be no surprise:  how we think, feel, and act are integral to </w:t>
      </w:r>
      <w:r w:rsidR="005F6F58">
        <w:t xml:space="preserve">the </w:t>
      </w:r>
      <w:r w:rsidR="0039312A">
        <w:t xml:space="preserve">solution of all societal problems. </w:t>
      </w:r>
      <w:r w:rsidR="005C30F9">
        <w:t>As a result,</w:t>
      </w:r>
      <w:r w:rsidR="005F6F58">
        <w:t xml:space="preserve"> today’s psychologists collaborate with the medical sciences, nursing, public health and education, linguistics and communication sciences, human development and family sciences, integrative biology and anthropology, molecular biology and neuroscience, pharmacology, computer science, and biomedical engineering.</w:t>
      </w:r>
      <w:r w:rsidR="005C30F9">
        <w:t xml:space="preserve"> </w:t>
      </w:r>
      <w:r w:rsidR="00133C38">
        <w:t xml:space="preserve">  </w:t>
      </w:r>
    </w:p>
    <w:p w14:paraId="3B24BC76" w14:textId="77777777" w:rsidR="006C05DE" w:rsidRPr="00123C27" w:rsidRDefault="00533578" w:rsidP="00533578">
      <w:pPr>
        <w:jc w:val="center"/>
        <w:rPr>
          <w:b/>
        </w:rPr>
      </w:pPr>
      <w:r w:rsidRPr="00123C27">
        <w:rPr>
          <w:b/>
        </w:rPr>
        <w:t>Rationale for the Change</w:t>
      </w:r>
    </w:p>
    <w:p w14:paraId="1CC95A5F" w14:textId="00009057" w:rsidR="00D26FBB" w:rsidRDefault="00ED0C5E" w:rsidP="00533578">
      <w:r>
        <w:t>The MA is a generic Master’s degree awarded across the arts, humanities, and social sciences.  By contrast, the MS is a specific Master’s degree a</w:t>
      </w:r>
      <w:r w:rsidR="003B4D1A">
        <w:t>warded to those training in the sciences</w:t>
      </w:r>
      <w:r>
        <w:t xml:space="preserve"> who have demonstrated a mastery of subject material and/or written an empirical thesis </w:t>
      </w:r>
      <w:r w:rsidR="00255809">
        <w:t>based on data collection and analysis that advance</w:t>
      </w:r>
      <w:r>
        <w:t xml:space="preserve"> the knowledge base of a scientific discipline</w:t>
      </w:r>
      <w:r w:rsidR="00255809">
        <w:t>.</w:t>
      </w:r>
      <w:r>
        <w:t xml:space="preserve"> </w:t>
      </w:r>
      <w:r w:rsidR="00533578">
        <w:t>We believe (i.e., our students and faculty) that the MS degree better reflects the nature of the wor</w:t>
      </w:r>
      <w:r w:rsidR="00DD170F">
        <w:t>k that our graduate stu</w:t>
      </w:r>
      <w:r w:rsidR="003E630D">
        <w:t>dents do.  Although we train Ph</w:t>
      </w:r>
      <w:r w:rsidR="00F52100">
        <w:t>D</w:t>
      </w:r>
      <w:r w:rsidR="00DD170F">
        <w:t xml:space="preserve"> student as our primary graduate education mission, some students do leave the universit</w:t>
      </w:r>
      <w:r w:rsidR="003E630D">
        <w:t>y prior to completion of the Ph</w:t>
      </w:r>
      <w:r w:rsidR="00F52100">
        <w:t>D</w:t>
      </w:r>
      <w:r w:rsidR="00DD170F">
        <w:t xml:space="preserve"> but after completion of a Master’s degree.  We feel, as do our students, that </w:t>
      </w:r>
      <w:r w:rsidR="00F52100">
        <w:t>receiving an MA rather than an MS</w:t>
      </w:r>
      <w:r w:rsidR="00DD170F">
        <w:t xml:space="preserve"> </w:t>
      </w:r>
      <w:proofErr w:type="spellStart"/>
      <w:r w:rsidR="00133C38">
        <w:t>mis</w:t>
      </w:r>
      <w:proofErr w:type="spellEnd"/>
      <w:r w:rsidR="00133C38">
        <w:t xml:space="preserve">-characterizes their training and </w:t>
      </w:r>
      <w:r w:rsidR="00DD170F">
        <w:t>places the</w:t>
      </w:r>
      <w:r w:rsidR="00F52100">
        <w:t>m</w:t>
      </w:r>
      <w:r w:rsidR="00DD170F">
        <w:t xml:space="preserve"> at a competitive disadvantage when they are searching for the kinds of science-related jobs in industry and government for which they are trained.  Given misunderstandings by the public in what psychology as a discipline does, it is likely</w:t>
      </w:r>
      <w:r w:rsidR="003B4D1A">
        <w:t xml:space="preserve"> recruiters trying to decide between two</w:t>
      </w:r>
      <w:r w:rsidR="00DD170F">
        <w:t xml:space="preserve"> applicants for a position, one with an MA in Psychology and one with an MS in Psychology (or an MS in some other social science), are likely to believe mistakenly that the person with the MS is more qualified</w:t>
      </w:r>
      <w:r w:rsidR="00F52100">
        <w:t xml:space="preserve"> and thus award</w:t>
      </w:r>
      <w:r w:rsidR="003B4D1A">
        <w:t xml:space="preserve"> the job to the applicant with an M</w:t>
      </w:r>
      <w:r w:rsidR="00F52100">
        <w:t>S</w:t>
      </w:r>
      <w:r w:rsidR="00DD170F">
        <w:t xml:space="preserve">.  This is not good for our students or the university. </w:t>
      </w:r>
      <w:r w:rsidR="00533578">
        <w:t xml:space="preserve">  </w:t>
      </w:r>
    </w:p>
    <w:p w14:paraId="739CBB9C" w14:textId="77777777" w:rsidR="00D26FBB" w:rsidRPr="00ED0C5E" w:rsidRDefault="00D26FBB" w:rsidP="00533578"/>
    <w:p w14:paraId="501E74E8" w14:textId="77777777" w:rsidR="00533578" w:rsidRDefault="00533578" w:rsidP="00533578">
      <w:pPr>
        <w:jc w:val="center"/>
        <w:rPr>
          <w:b/>
        </w:rPr>
      </w:pPr>
      <w:r>
        <w:rPr>
          <w:b/>
        </w:rPr>
        <w:t>Student and Faculty Sentiment</w:t>
      </w:r>
    </w:p>
    <w:p w14:paraId="3B77D78D" w14:textId="0F7B7055" w:rsidR="00533578" w:rsidRDefault="00533578" w:rsidP="00533578">
      <w:r>
        <w:lastRenderedPageBreak/>
        <w:t>The graduate students and faculty are overwhelmingly in support of changing the Master’s degree awarded from MA to MS.  The movement to enact this change began in May 2017 and was initiated by the graduate students through the Psychology Graduate Student Association</w:t>
      </w:r>
      <w:r w:rsidR="00133C38">
        <w:t xml:space="preserve"> and then continued in discussions between the students and Department C</w:t>
      </w:r>
      <w:r>
        <w:t>hair</w:t>
      </w:r>
      <w:r w:rsidR="00133C38">
        <w:t>,</w:t>
      </w:r>
      <w:r>
        <w:t xml:space="preserve"> John </w:t>
      </w:r>
      <w:r w:rsidR="00133C38">
        <w:t xml:space="preserve">P. </w:t>
      </w:r>
      <w:r>
        <w:t xml:space="preserve">Bruno.   The leaders of the PGSA administered a survey first to graduate students and then, a month later, to the faculty. The data collected from this survey were compiled in June 2017. By then, 92 graduate students (of 147 currently enrolled, 63%) and </w:t>
      </w:r>
      <w:proofErr w:type="gramStart"/>
      <w:r>
        <w:t>29 faculty</w:t>
      </w:r>
      <w:proofErr w:type="gramEnd"/>
      <w:r>
        <w:t xml:space="preserve"> (of 55; 53%) had responded to the survey. The survey asked respondents to indicate their position (graduate student or faculty), their departmental area (behavioral neuroscience, clinical, cognitive, decision, developmental, intellectual and developmental disabilities, quantitative, or social). The final question asked respondents to rate their “level of support for a change to an MS” on a scale from “Strongly Opposed” to “Strongly in Favor” with a middle point labeled “Indifferent”.</w:t>
      </w:r>
    </w:p>
    <w:p w14:paraId="7F950BF1" w14:textId="77777777" w:rsidR="00533578" w:rsidRDefault="00533578" w:rsidP="00533578">
      <w:r>
        <w:t>Overall support for the change was strong with 75% of respondents indicating strongly in favor, 10% slightly in favor, 10% indifferent, 2% slightly opposed, and 2% strongly opposed (See Table 1).</w:t>
      </w:r>
    </w:p>
    <w:p w14:paraId="13F826F2" w14:textId="77777777" w:rsidR="00533578" w:rsidRDefault="00533578" w:rsidP="00533578">
      <w:pPr>
        <w:jc w:val="center"/>
      </w:pPr>
      <w:r>
        <w:t>Table 1: Counts in favor and opposed by position</w:t>
      </w:r>
    </w:p>
    <w:tbl>
      <w:tblPr>
        <w:tblStyle w:val="TableGrid"/>
        <w:tblW w:w="0" w:type="auto"/>
        <w:tblBorders>
          <w:top w:val="none" w:sz="0" w:space="0" w:color="auto"/>
          <w:left w:val="none" w:sz="0" w:space="0" w:color="auto"/>
        </w:tblBorders>
        <w:tblLook w:val="04A0" w:firstRow="1" w:lastRow="0" w:firstColumn="1" w:lastColumn="0" w:noHBand="0" w:noVBand="1"/>
      </w:tblPr>
      <w:tblGrid>
        <w:gridCol w:w="2394"/>
        <w:gridCol w:w="2394"/>
        <w:gridCol w:w="2394"/>
        <w:gridCol w:w="2394"/>
      </w:tblGrid>
      <w:tr w:rsidR="00533578" w14:paraId="18519246" w14:textId="77777777" w:rsidTr="00787C91">
        <w:tc>
          <w:tcPr>
            <w:tcW w:w="2394" w:type="dxa"/>
            <w:tcBorders>
              <w:bottom w:val="single" w:sz="4" w:space="0" w:color="auto"/>
            </w:tcBorders>
          </w:tcPr>
          <w:p w14:paraId="31FAD846" w14:textId="77777777" w:rsidR="00533578" w:rsidRDefault="00533578" w:rsidP="00787C91"/>
        </w:tc>
        <w:tc>
          <w:tcPr>
            <w:tcW w:w="2394" w:type="dxa"/>
            <w:tcBorders>
              <w:top w:val="single" w:sz="4" w:space="0" w:color="auto"/>
            </w:tcBorders>
          </w:tcPr>
          <w:p w14:paraId="7F47BE68" w14:textId="77777777" w:rsidR="00533578" w:rsidRDefault="00533578" w:rsidP="00787C91">
            <w:r>
              <w:t>Graduate Students</w:t>
            </w:r>
          </w:p>
        </w:tc>
        <w:tc>
          <w:tcPr>
            <w:tcW w:w="2394" w:type="dxa"/>
            <w:tcBorders>
              <w:top w:val="single" w:sz="4" w:space="0" w:color="auto"/>
            </w:tcBorders>
          </w:tcPr>
          <w:p w14:paraId="7E6098D5" w14:textId="77777777" w:rsidR="00533578" w:rsidRDefault="00533578" w:rsidP="00787C91">
            <w:r>
              <w:t>Faculty</w:t>
            </w:r>
          </w:p>
        </w:tc>
        <w:tc>
          <w:tcPr>
            <w:tcW w:w="2394" w:type="dxa"/>
            <w:tcBorders>
              <w:top w:val="single" w:sz="4" w:space="0" w:color="auto"/>
            </w:tcBorders>
          </w:tcPr>
          <w:p w14:paraId="5AD429B9" w14:textId="77777777" w:rsidR="00533578" w:rsidRDefault="00533578" w:rsidP="00787C91">
            <w:r>
              <w:t>Total</w:t>
            </w:r>
          </w:p>
        </w:tc>
      </w:tr>
      <w:tr w:rsidR="00533578" w14:paraId="54E86171" w14:textId="77777777" w:rsidTr="00787C91">
        <w:tc>
          <w:tcPr>
            <w:tcW w:w="2394" w:type="dxa"/>
            <w:tcBorders>
              <w:top w:val="single" w:sz="4" w:space="0" w:color="auto"/>
              <w:left w:val="single" w:sz="4" w:space="0" w:color="auto"/>
            </w:tcBorders>
          </w:tcPr>
          <w:p w14:paraId="0C6548C5" w14:textId="77777777" w:rsidR="00533578" w:rsidRDefault="00533578" w:rsidP="00787C91">
            <w:r>
              <w:t>Strongly in Favor</w:t>
            </w:r>
          </w:p>
        </w:tc>
        <w:tc>
          <w:tcPr>
            <w:tcW w:w="2394" w:type="dxa"/>
          </w:tcPr>
          <w:p w14:paraId="24A57008" w14:textId="77777777" w:rsidR="00533578" w:rsidRDefault="00533578" w:rsidP="00787C91">
            <w:r>
              <w:t>79 (85.9%)</w:t>
            </w:r>
          </w:p>
        </w:tc>
        <w:tc>
          <w:tcPr>
            <w:tcW w:w="2394" w:type="dxa"/>
          </w:tcPr>
          <w:p w14:paraId="79C79ACD" w14:textId="77777777" w:rsidR="00533578" w:rsidRDefault="00533578" w:rsidP="00787C91">
            <w:r>
              <w:t>12 (41.4%)</w:t>
            </w:r>
          </w:p>
        </w:tc>
        <w:tc>
          <w:tcPr>
            <w:tcW w:w="2394" w:type="dxa"/>
          </w:tcPr>
          <w:p w14:paraId="798A97A4" w14:textId="77777777" w:rsidR="00533578" w:rsidRDefault="00533578" w:rsidP="00787C91">
            <w:r>
              <w:t>91 (75.2%)</w:t>
            </w:r>
          </w:p>
        </w:tc>
      </w:tr>
      <w:tr w:rsidR="00533578" w14:paraId="6D5E960D" w14:textId="77777777" w:rsidTr="00787C91">
        <w:tc>
          <w:tcPr>
            <w:tcW w:w="2394" w:type="dxa"/>
            <w:tcBorders>
              <w:top w:val="single" w:sz="4" w:space="0" w:color="auto"/>
              <w:left w:val="single" w:sz="4" w:space="0" w:color="auto"/>
            </w:tcBorders>
          </w:tcPr>
          <w:p w14:paraId="71EF176C" w14:textId="77777777" w:rsidR="00533578" w:rsidRDefault="00533578" w:rsidP="00787C91">
            <w:r>
              <w:t>Slightly in Favor</w:t>
            </w:r>
          </w:p>
        </w:tc>
        <w:tc>
          <w:tcPr>
            <w:tcW w:w="2394" w:type="dxa"/>
          </w:tcPr>
          <w:p w14:paraId="7C626F3C" w14:textId="77777777" w:rsidR="00533578" w:rsidRDefault="00533578" w:rsidP="00787C91">
            <w:r>
              <w:t>7 (7.6%)</w:t>
            </w:r>
          </w:p>
        </w:tc>
        <w:tc>
          <w:tcPr>
            <w:tcW w:w="2394" w:type="dxa"/>
          </w:tcPr>
          <w:p w14:paraId="67524B4D" w14:textId="77777777" w:rsidR="00533578" w:rsidRDefault="00533578" w:rsidP="00787C91">
            <w:r>
              <w:t>5 (17.2%)</w:t>
            </w:r>
          </w:p>
        </w:tc>
        <w:tc>
          <w:tcPr>
            <w:tcW w:w="2394" w:type="dxa"/>
          </w:tcPr>
          <w:p w14:paraId="5B1FC893" w14:textId="77777777" w:rsidR="00533578" w:rsidRDefault="00533578" w:rsidP="00787C91">
            <w:r>
              <w:t>12 (9.9%)</w:t>
            </w:r>
          </w:p>
        </w:tc>
      </w:tr>
      <w:tr w:rsidR="00533578" w14:paraId="70698C9B" w14:textId="77777777" w:rsidTr="00787C91">
        <w:tc>
          <w:tcPr>
            <w:tcW w:w="2394" w:type="dxa"/>
            <w:tcBorders>
              <w:top w:val="single" w:sz="4" w:space="0" w:color="auto"/>
              <w:left w:val="single" w:sz="4" w:space="0" w:color="auto"/>
            </w:tcBorders>
          </w:tcPr>
          <w:p w14:paraId="60AF6B14" w14:textId="77777777" w:rsidR="00533578" w:rsidRDefault="00533578" w:rsidP="00787C91">
            <w:r>
              <w:t>Indifferent</w:t>
            </w:r>
          </w:p>
        </w:tc>
        <w:tc>
          <w:tcPr>
            <w:tcW w:w="2394" w:type="dxa"/>
          </w:tcPr>
          <w:p w14:paraId="44ABCFEF" w14:textId="77777777" w:rsidR="00533578" w:rsidRDefault="00533578" w:rsidP="00787C91">
            <w:r>
              <w:t>5 (5.4%)</w:t>
            </w:r>
          </w:p>
        </w:tc>
        <w:tc>
          <w:tcPr>
            <w:tcW w:w="2394" w:type="dxa"/>
          </w:tcPr>
          <w:p w14:paraId="0E54CC5C" w14:textId="77777777" w:rsidR="00533578" w:rsidRDefault="00533578" w:rsidP="00787C91">
            <w:r>
              <w:t>8 (27.6%)</w:t>
            </w:r>
          </w:p>
        </w:tc>
        <w:tc>
          <w:tcPr>
            <w:tcW w:w="2394" w:type="dxa"/>
          </w:tcPr>
          <w:p w14:paraId="6630924D" w14:textId="77777777" w:rsidR="00533578" w:rsidRDefault="00533578" w:rsidP="00787C91">
            <w:r>
              <w:t>13 (10.7%)</w:t>
            </w:r>
          </w:p>
        </w:tc>
      </w:tr>
      <w:tr w:rsidR="00533578" w14:paraId="0E751965" w14:textId="77777777" w:rsidTr="00787C91">
        <w:tc>
          <w:tcPr>
            <w:tcW w:w="2394" w:type="dxa"/>
            <w:tcBorders>
              <w:top w:val="single" w:sz="4" w:space="0" w:color="auto"/>
              <w:left w:val="single" w:sz="4" w:space="0" w:color="auto"/>
            </w:tcBorders>
          </w:tcPr>
          <w:p w14:paraId="1C440115" w14:textId="77777777" w:rsidR="00533578" w:rsidRDefault="00533578" w:rsidP="00787C91">
            <w:r>
              <w:t>Slightly Opposed</w:t>
            </w:r>
          </w:p>
        </w:tc>
        <w:tc>
          <w:tcPr>
            <w:tcW w:w="2394" w:type="dxa"/>
          </w:tcPr>
          <w:p w14:paraId="77EA5652" w14:textId="77777777" w:rsidR="00533578" w:rsidRDefault="00533578" w:rsidP="00787C91">
            <w:r>
              <w:t>1(1.1%)</w:t>
            </w:r>
          </w:p>
        </w:tc>
        <w:tc>
          <w:tcPr>
            <w:tcW w:w="2394" w:type="dxa"/>
          </w:tcPr>
          <w:p w14:paraId="73FE83DE" w14:textId="77777777" w:rsidR="00533578" w:rsidRDefault="00533578" w:rsidP="00787C91">
            <w:r>
              <w:t>2 (6.9%)</w:t>
            </w:r>
          </w:p>
        </w:tc>
        <w:tc>
          <w:tcPr>
            <w:tcW w:w="2394" w:type="dxa"/>
          </w:tcPr>
          <w:p w14:paraId="0615D410" w14:textId="77777777" w:rsidR="00533578" w:rsidRDefault="00533578" w:rsidP="00787C91">
            <w:r>
              <w:t>3 (2.5%)</w:t>
            </w:r>
          </w:p>
        </w:tc>
      </w:tr>
      <w:tr w:rsidR="00533578" w14:paraId="3ED0D361" w14:textId="77777777" w:rsidTr="00787C91">
        <w:tc>
          <w:tcPr>
            <w:tcW w:w="2394" w:type="dxa"/>
            <w:tcBorders>
              <w:top w:val="single" w:sz="4" w:space="0" w:color="auto"/>
              <w:left w:val="single" w:sz="4" w:space="0" w:color="auto"/>
              <w:bottom w:val="single" w:sz="4" w:space="0" w:color="auto"/>
            </w:tcBorders>
          </w:tcPr>
          <w:p w14:paraId="3D5BF848" w14:textId="77777777" w:rsidR="00533578" w:rsidRDefault="00533578" w:rsidP="00787C91">
            <w:r>
              <w:t>Strongly Opposed</w:t>
            </w:r>
          </w:p>
        </w:tc>
        <w:tc>
          <w:tcPr>
            <w:tcW w:w="2394" w:type="dxa"/>
          </w:tcPr>
          <w:p w14:paraId="0C50ABAA" w14:textId="77777777" w:rsidR="00533578" w:rsidRDefault="00533578" w:rsidP="00787C91">
            <w:r>
              <w:t>0 (0%)</w:t>
            </w:r>
          </w:p>
        </w:tc>
        <w:tc>
          <w:tcPr>
            <w:tcW w:w="2394" w:type="dxa"/>
          </w:tcPr>
          <w:p w14:paraId="0DD65381" w14:textId="77777777" w:rsidR="00533578" w:rsidRDefault="00533578" w:rsidP="00787C91">
            <w:r>
              <w:t>2 (6.9%)</w:t>
            </w:r>
          </w:p>
        </w:tc>
        <w:tc>
          <w:tcPr>
            <w:tcW w:w="2394" w:type="dxa"/>
          </w:tcPr>
          <w:p w14:paraId="724E3EEC" w14:textId="77777777" w:rsidR="00533578" w:rsidRDefault="00533578" w:rsidP="00787C91">
            <w:r>
              <w:t>2 (1.7%)</w:t>
            </w:r>
          </w:p>
        </w:tc>
      </w:tr>
      <w:tr w:rsidR="00533578" w14:paraId="32CCDA43" w14:textId="77777777" w:rsidTr="00787C91">
        <w:tc>
          <w:tcPr>
            <w:tcW w:w="2394" w:type="dxa"/>
            <w:tcBorders>
              <w:top w:val="single" w:sz="4" w:space="0" w:color="auto"/>
              <w:left w:val="single" w:sz="4" w:space="0" w:color="auto"/>
              <w:bottom w:val="single" w:sz="4" w:space="0" w:color="auto"/>
            </w:tcBorders>
          </w:tcPr>
          <w:p w14:paraId="6C49FC96" w14:textId="77777777" w:rsidR="00533578" w:rsidRDefault="00533578" w:rsidP="00787C91"/>
        </w:tc>
        <w:tc>
          <w:tcPr>
            <w:tcW w:w="2394" w:type="dxa"/>
          </w:tcPr>
          <w:p w14:paraId="6D6C0A37" w14:textId="77777777" w:rsidR="00533578" w:rsidRDefault="00533578" w:rsidP="00787C91"/>
        </w:tc>
        <w:tc>
          <w:tcPr>
            <w:tcW w:w="2394" w:type="dxa"/>
          </w:tcPr>
          <w:p w14:paraId="64D0C668" w14:textId="77777777" w:rsidR="00533578" w:rsidRDefault="00533578" w:rsidP="00787C91"/>
        </w:tc>
        <w:tc>
          <w:tcPr>
            <w:tcW w:w="2394" w:type="dxa"/>
          </w:tcPr>
          <w:p w14:paraId="3858694F" w14:textId="77777777" w:rsidR="00533578" w:rsidRDefault="00533578" w:rsidP="00787C91"/>
        </w:tc>
      </w:tr>
      <w:tr w:rsidR="00533578" w14:paraId="50C574DE" w14:textId="77777777" w:rsidTr="00787C91">
        <w:tc>
          <w:tcPr>
            <w:tcW w:w="2394" w:type="dxa"/>
            <w:tcBorders>
              <w:top w:val="single" w:sz="4" w:space="0" w:color="auto"/>
              <w:left w:val="single" w:sz="4" w:space="0" w:color="auto"/>
              <w:bottom w:val="single" w:sz="4" w:space="0" w:color="auto"/>
            </w:tcBorders>
          </w:tcPr>
          <w:p w14:paraId="77DDF8A7" w14:textId="77777777" w:rsidR="00533578" w:rsidRDefault="00533578" w:rsidP="00787C91">
            <w:r>
              <w:t>Response rate</w:t>
            </w:r>
          </w:p>
        </w:tc>
        <w:tc>
          <w:tcPr>
            <w:tcW w:w="2394" w:type="dxa"/>
          </w:tcPr>
          <w:p w14:paraId="19992757" w14:textId="77777777" w:rsidR="00533578" w:rsidRDefault="00533578" w:rsidP="00787C91">
            <w:r>
              <w:t>64%</w:t>
            </w:r>
          </w:p>
        </w:tc>
        <w:tc>
          <w:tcPr>
            <w:tcW w:w="2394" w:type="dxa"/>
          </w:tcPr>
          <w:p w14:paraId="2386F412" w14:textId="77777777" w:rsidR="00533578" w:rsidRDefault="00533578" w:rsidP="00787C91">
            <w:r>
              <w:t>53%</w:t>
            </w:r>
          </w:p>
        </w:tc>
        <w:tc>
          <w:tcPr>
            <w:tcW w:w="2394" w:type="dxa"/>
          </w:tcPr>
          <w:p w14:paraId="0B4E2A9D" w14:textId="77777777" w:rsidR="00533578" w:rsidRDefault="00533578" w:rsidP="00787C91">
            <w:r>
              <w:t>60%</w:t>
            </w:r>
          </w:p>
        </w:tc>
      </w:tr>
      <w:tr w:rsidR="00533578" w14:paraId="127ED5E2" w14:textId="77777777" w:rsidTr="00787C91">
        <w:tc>
          <w:tcPr>
            <w:tcW w:w="9576" w:type="dxa"/>
            <w:gridSpan w:val="4"/>
            <w:tcBorders>
              <w:top w:val="single" w:sz="4" w:space="0" w:color="auto"/>
              <w:left w:val="single" w:sz="4" w:space="0" w:color="auto"/>
            </w:tcBorders>
          </w:tcPr>
          <w:p w14:paraId="42214C74" w14:textId="77777777" w:rsidR="00533578" w:rsidRPr="0053223D" w:rsidRDefault="00533578" w:rsidP="00787C91">
            <w:pPr>
              <w:jc w:val="center"/>
              <w:rPr>
                <w:sz w:val="20"/>
                <w:szCs w:val="20"/>
              </w:rPr>
            </w:pPr>
            <w:r w:rsidRPr="0053223D">
              <w:rPr>
                <w:sz w:val="20"/>
                <w:szCs w:val="20"/>
              </w:rPr>
              <w:t>Percentages are percentages within columns</w:t>
            </w:r>
          </w:p>
        </w:tc>
      </w:tr>
    </w:tbl>
    <w:p w14:paraId="26E00D7A" w14:textId="77777777" w:rsidR="00533578" w:rsidRDefault="00533578" w:rsidP="00F52100">
      <w:pPr>
        <w:spacing w:before="120"/>
      </w:pPr>
      <w:r>
        <w:t xml:space="preserve">The graduate students felt it was important to assess how support may vary across different areas of psychology, as an MA and an MS may carry different weight in different academic areas. Two areas were unanimously in favor of the change to an MS (Behavioral Neuroscience and Quantitative Psychology). Four areas had no responses in opposition: Cognitive, Decision, IDD, and Social.  Only two areas contained students or faculty who expressed opposition to the change, but they were a clear minority. Table 2 pools the responses of faculty and students but separates responses by area. </w:t>
      </w:r>
    </w:p>
    <w:p w14:paraId="7C71DB02" w14:textId="77777777" w:rsidR="00F52100" w:rsidRDefault="00F52100" w:rsidP="00F52100">
      <w:r>
        <w:t xml:space="preserve">At the end of the survey students were allowed to write additional comments. Some of the comments have been compiled below.  Many students noted identifying with the term science more and how this degree will better represent the work they do in this department. Some expressed a wish that such a change could be applied retroactively so that their MA already earned could be changed to an MS. </w:t>
      </w:r>
    </w:p>
    <w:p w14:paraId="4C4CFB57" w14:textId="77777777" w:rsidR="00D26FBB" w:rsidRDefault="00D26FBB" w:rsidP="00F52100"/>
    <w:p w14:paraId="405319A3" w14:textId="77777777" w:rsidR="00D26FBB" w:rsidRDefault="00D26FBB" w:rsidP="00F52100"/>
    <w:p w14:paraId="3A1A457C" w14:textId="77777777" w:rsidR="00533578" w:rsidRDefault="00533578" w:rsidP="00533578">
      <w:pPr>
        <w:jc w:val="center"/>
      </w:pPr>
      <w:r>
        <w:t>Table 2: Counts and percentages in favor and opposed by departmental area</w:t>
      </w:r>
    </w:p>
    <w:tbl>
      <w:tblPr>
        <w:tblStyle w:val="TableGrid"/>
        <w:tblW w:w="10170" w:type="dxa"/>
        <w:tblInd w:w="-252" w:type="dxa"/>
        <w:tblBorders>
          <w:top w:val="none" w:sz="0" w:space="0" w:color="auto"/>
          <w:left w:val="none" w:sz="0" w:space="0" w:color="auto"/>
        </w:tblBorders>
        <w:tblLook w:val="04A0" w:firstRow="1" w:lastRow="0" w:firstColumn="1" w:lastColumn="0" w:noHBand="0" w:noVBand="1"/>
      </w:tblPr>
      <w:tblGrid>
        <w:gridCol w:w="1260"/>
        <w:gridCol w:w="1080"/>
        <w:gridCol w:w="1170"/>
        <w:gridCol w:w="1269"/>
        <w:gridCol w:w="973"/>
        <w:gridCol w:w="1069"/>
        <w:gridCol w:w="1099"/>
        <w:gridCol w:w="1080"/>
        <w:gridCol w:w="1170"/>
      </w:tblGrid>
      <w:tr w:rsidR="00533578" w14:paraId="322A8B45" w14:textId="77777777" w:rsidTr="00787C91">
        <w:trPr>
          <w:trHeight w:val="350"/>
        </w:trPr>
        <w:tc>
          <w:tcPr>
            <w:tcW w:w="1260" w:type="dxa"/>
            <w:tcBorders>
              <w:bottom w:val="single" w:sz="4" w:space="0" w:color="auto"/>
            </w:tcBorders>
          </w:tcPr>
          <w:p w14:paraId="1CE880A3" w14:textId="77777777" w:rsidR="00533578" w:rsidRDefault="00533578" w:rsidP="00787C91"/>
        </w:tc>
        <w:tc>
          <w:tcPr>
            <w:tcW w:w="1080" w:type="dxa"/>
            <w:tcBorders>
              <w:top w:val="single" w:sz="4" w:space="0" w:color="auto"/>
            </w:tcBorders>
          </w:tcPr>
          <w:p w14:paraId="1E9BB7D9" w14:textId="77777777" w:rsidR="00533578" w:rsidRDefault="00533578" w:rsidP="00787C91">
            <w:r>
              <w:t>BN</w:t>
            </w:r>
          </w:p>
        </w:tc>
        <w:tc>
          <w:tcPr>
            <w:tcW w:w="1170" w:type="dxa"/>
            <w:tcBorders>
              <w:top w:val="single" w:sz="4" w:space="0" w:color="auto"/>
            </w:tcBorders>
          </w:tcPr>
          <w:p w14:paraId="56E8B003" w14:textId="77777777" w:rsidR="00533578" w:rsidRDefault="00533578" w:rsidP="00787C91">
            <w:r>
              <w:t>Clinical</w:t>
            </w:r>
          </w:p>
        </w:tc>
        <w:tc>
          <w:tcPr>
            <w:tcW w:w="1269" w:type="dxa"/>
            <w:tcBorders>
              <w:top w:val="single" w:sz="4" w:space="0" w:color="auto"/>
            </w:tcBorders>
          </w:tcPr>
          <w:p w14:paraId="37B53510" w14:textId="77777777" w:rsidR="00533578" w:rsidRDefault="00533578" w:rsidP="00787C91">
            <w:r>
              <w:t>Cognitive</w:t>
            </w:r>
          </w:p>
        </w:tc>
        <w:tc>
          <w:tcPr>
            <w:tcW w:w="973" w:type="dxa"/>
            <w:tcBorders>
              <w:top w:val="single" w:sz="4" w:space="0" w:color="auto"/>
            </w:tcBorders>
          </w:tcPr>
          <w:p w14:paraId="3DC175B6" w14:textId="77777777" w:rsidR="00533578" w:rsidRDefault="00533578" w:rsidP="00787C91">
            <w:r>
              <w:t>Decision</w:t>
            </w:r>
          </w:p>
        </w:tc>
        <w:tc>
          <w:tcPr>
            <w:tcW w:w="1069" w:type="dxa"/>
            <w:tcBorders>
              <w:top w:val="single" w:sz="4" w:space="0" w:color="auto"/>
            </w:tcBorders>
          </w:tcPr>
          <w:p w14:paraId="41CDAB39" w14:textId="77777777" w:rsidR="00533578" w:rsidRDefault="00533578" w:rsidP="00787C91">
            <w:r>
              <w:t>Develop</w:t>
            </w:r>
          </w:p>
        </w:tc>
        <w:tc>
          <w:tcPr>
            <w:tcW w:w="1099" w:type="dxa"/>
            <w:tcBorders>
              <w:top w:val="single" w:sz="4" w:space="0" w:color="auto"/>
            </w:tcBorders>
          </w:tcPr>
          <w:p w14:paraId="0A2E76F6" w14:textId="77777777" w:rsidR="00533578" w:rsidRDefault="00533578" w:rsidP="00787C91">
            <w:r>
              <w:t>IDD</w:t>
            </w:r>
          </w:p>
        </w:tc>
        <w:tc>
          <w:tcPr>
            <w:tcW w:w="1080" w:type="dxa"/>
            <w:tcBorders>
              <w:top w:val="single" w:sz="4" w:space="0" w:color="auto"/>
            </w:tcBorders>
          </w:tcPr>
          <w:p w14:paraId="33967942" w14:textId="77777777" w:rsidR="00533578" w:rsidRDefault="00533578" w:rsidP="00787C91">
            <w:r>
              <w:t>Quant</w:t>
            </w:r>
          </w:p>
        </w:tc>
        <w:tc>
          <w:tcPr>
            <w:tcW w:w="1170" w:type="dxa"/>
            <w:tcBorders>
              <w:top w:val="single" w:sz="4" w:space="0" w:color="auto"/>
            </w:tcBorders>
          </w:tcPr>
          <w:p w14:paraId="2EB6B42A" w14:textId="77777777" w:rsidR="00533578" w:rsidRDefault="00533578" w:rsidP="00787C91">
            <w:r>
              <w:t>Social</w:t>
            </w:r>
          </w:p>
        </w:tc>
      </w:tr>
      <w:tr w:rsidR="00533578" w14:paraId="0D822DA4" w14:textId="77777777" w:rsidTr="00787C91">
        <w:trPr>
          <w:trHeight w:val="350"/>
        </w:trPr>
        <w:tc>
          <w:tcPr>
            <w:tcW w:w="1260" w:type="dxa"/>
            <w:tcBorders>
              <w:top w:val="single" w:sz="4" w:space="0" w:color="auto"/>
              <w:left w:val="single" w:sz="4" w:space="0" w:color="auto"/>
            </w:tcBorders>
          </w:tcPr>
          <w:p w14:paraId="252DB201" w14:textId="77777777" w:rsidR="00533578" w:rsidRDefault="00533578" w:rsidP="00787C91">
            <w:r>
              <w:t>Strongly in Favor</w:t>
            </w:r>
          </w:p>
        </w:tc>
        <w:tc>
          <w:tcPr>
            <w:tcW w:w="1080" w:type="dxa"/>
          </w:tcPr>
          <w:p w14:paraId="6512A554" w14:textId="77777777" w:rsidR="00533578" w:rsidRDefault="00533578" w:rsidP="00787C91">
            <w:r>
              <w:t>2 (66.7%)</w:t>
            </w:r>
          </w:p>
        </w:tc>
        <w:tc>
          <w:tcPr>
            <w:tcW w:w="1170" w:type="dxa"/>
          </w:tcPr>
          <w:p w14:paraId="175D86F9" w14:textId="77777777" w:rsidR="00533578" w:rsidRDefault="00533578" w:rsidP="00787C91">
            <w:r>
              <w:t>31 (73.8%)</w:t>
            </w:r>
          </w:p>
        </w:tc>
        <w:tc>
          <w:tcPr>
            <w:tcW w:w="1269" w:type="dxa"/>
          </w:tcPr>
          <w:p w14:paraId="7A0FB0CE" w14:textId="77777777" w:rsidR="00533578" w:rsidRDefault="00533578" w:rsidP="00787C91">
            <w:r>
              <w:t>17 (81.0%)</w:t>
            </w:r>
          </w:p>
        </w:tc>
        <w:tc>
          <w:tcPr>
            <w:tcW w:w="973" w:type="dxa"/>
          </w:tcPr>
          <w:p w14:paraId="46FED170" w14:textId="77777777" w:rsidR="00533578" w:rsidRDefault="00533578" w:rsidP="00787C91">
            <w:r>
              <w:t>4 (80%)</w:t>
            </w:r>
          </w:p>
        </w:tc>
        <w:tc>
          <w:tcPr>
            <w:tcW w:w="1069" w:type="dxa"/>
          </w:tcPr>
          <w:p w14:paraId="38B5803E" w14:textId="77777777" w:rsidR="00533578" w:rsidRDefault="00533578" w:rsidP="00787C91">
            <w:r>
              <w:t>7 (70%)</w:t>
            </w:r>
          </w:p>
        </w:tc>
        <w:tc>
          <w:tcPr>
            <w:tcW w:w="1099" w:type="dxa"/>
          </w:tcPr>
          <w:p w14:paraId="26059A19" w14:textId="77777777" w:rsidR="00533578" w:rsidRDefault="00533578" w:rsidP="00787C91">
            <w:r>
              <w:t>7 (70%)</w:t>
            </w:r>
          </w:p>
        </w:tc>
        <w:tc>
          <w:tcPr>
            <w:tcW w:w="1080" w:type="dxa"/>
          </w:tcPr>
          <w:p w14:paraId="3FF5872D" w14:textId="77777777" w:rsidR="00533578" w:rsidRDefault="00533578" w:rsidP="00787C91">
            <w:r>
              <w:t>7 (87.5%)</w:t>
            </w:r>
          </w:p>
        </w:tc>
        <w:tc>
          <w:tcPr>
            <w:tcW w:w="1170" w:type="dxa"/>
          </w:tcPr>
          <w:p w14:paraId="494F97DF" w14:textId="77777777" w:rsidR="00533578" w:rsidRDefault="00533578" w:rsidP="00787C91">
            <w:r>
              <w:t>19 (76.0%)</w:t>
            </w:r>
          </w:p>
        </w:tc>
      </w:tr>
      <w:tr w:rsidR="00533578" w14:paraId="4928FC79" w14:textId="77777777" w:rsidTr="00787C91">
        <w:trPr>
          <w:trHeight w:val="359"/>
        </w:trPr>
        <w:tc>
          <w:tcPr>
            <w:tcW w:w="1260" w:type="dxa"/>
            <w:tcBorders>
              <w:top w:val="single" w:sz="4" w:space="0" w:color="auto"/>
              <w:left w:val="single" w:sz="4" w:space="0" w:color="auto"/>
            </w:tcBorders>
          </w:tcPr>
          <w:p w14:paraId="561DA812" w14:textId="77777777" w:rsidR="00533578" w:rsidRDefault="00533578" w:rsidP="00787C91">
            <w:r>
              <w:t>Slightly in Favor</w:t>
            </w:r>
          </w:p>
        </w:tc>
        <w:tc>
          <w:tcPr>
            <w:tcW w:w="1080" w:type="dxa"/>
          </w:tcPr>
          <w:p w14:paraId="4AC59CEB" w14:textId="77777777" w:rsidR="00533578" w:rsidRDefault="00533578" w:rsidP="00787C91">
            <w:r>
              <w:t>1 (33.3%)</w:t>
            </w:r>
          </w:p>
        </w:tc>
        <w:tc>
          <w:tcPr>
            <w:tcW w:w="1170" w:type="dxa"/>
          </w:tcPr>
          <w:p w14:paraId="1A21D02B" w14:textId="77777777" w:rsidR="00533578" w:rsidRDefault="00533578" w:rsidP="00787C91">
            <w:r>
              <w:t>3 (7.1%)</w:t>
            </w:r>
          </w:p>
        </w:tc>
        <w:tc>
          <w:tcPr>
            <w:tcW w:w="1269" w:type="dxa"/>
          </w:tcPr>
          <w:p w14:paraId="1E3BD192" w14:textId="77777777" w:rsidR="00533578" w:rsidRDefault="00533578" w:rsidP="00787C91">
            <w:r>
              <w:t>2 (9.5%)</w:t>
            </w:r>
          </w:p>
        </w:tc>
        <w:tc>
          <w:tcPr>
            <w:tcW w:w="973" w:type="dxa"/>
          </w:tcPr>
          <w:p w14:paraId="77E3A09B" w14:textId="77777777" w:rsidR="00533578" w:rsidRDefault="00533578" w:rsidP="00787C91">
            <w:r>
              <w:t>0 (0%)</w:t>
            </w:r>
          </w:p>
        </w:tc>
        <w:tc>
          <w:tcPr>
            <w:tcW w:w="1069" w:type="dxa"/>
          </w:tcPr>
          <w:p w14:paraId="729560F4" w14:textId="77777777" w:rsidR="00533578" w:rsidRDefault="00533578" w:rsidP="00787C91">
            <w:r>
              <w:t>1 (10.0%)</w:t>
            </w:r>
          </w:p>
        </w:tc>
        <w:tc>
          <w:tcPr>
            <w:tcW w:w="1099" w:type="dxa"/>
          </w:tcPr>
          <w:p w14:paraId="67B55A36" w14:textId="77777777" w:rsidR="00533578" w:rsidRDefault="00533578" w:rsidP="00787C91">
            <w:r>
              <w:t>2(18.2%)</w:t>
            </w:r>
          </w:p>
        </w:tc>
        <w:tc>
          <w:tcPr>
            <w:tcW w:w="1080" w:type="dxa"/>
          </w:tcPr>
          <w:p w14:paraId="3352C746" w14:textId="77777777" w:rsidR="00533578" w:rsidRDefault="00533578" w:rsidP="00787C91">
            <w:r>
              <w:t>1 (12.5%)</w:t>
            </w:r>
          </w:p>
        </w:tc>
        <w:tc>
          <w:tcPr>
            <w:tcW w:w="1170" w:type="dxa"/>
          </w:tcPr>
          <w:p w14:paraId="09B3935D" w14:textId="77777777" w:rsidR="00533578" w:rsidRDefault="00533578" w:rsidP="00787C91">
            <w:r>
              <w:t>3 (12.0%)</w:t>
            </w:r>
          </w:p>
        </w:tc>
      </w:tr>
      <w:tr w:rsidR="00533578" w14:paraId="2319000F" w14:textId="77777777" w:rsidTr="00787C91">
        <w:trPr>
          <w:trHeight w:val="431"/>
        </w:trPr>
        <w:tc>
          <w:tcPr>
            <w:tcW w:w="1260" w:type="dxa"/>
            <w:tcBorders>
              <w:top w:val="single" w:sz="4" w:space="0" w:color="auto"/>
              <w:left w:val="single" w:sz="4" w:space="0" w:color="auto"/>
            </w:tcBorders>
          </w:tcPr>
          <w:p w14:paraId="446A95CF" w14:textId="77777777" w:rsidR="00533578" w:rsidRDefault="00533578" w:rsidP="00787C91">
            <w:r>
              <w:t>Indifferent</w:t>
            </w:r>
          </w:p>
        </w:tc>
        <w:tc>
          <w:tcPr>
            <w:tcW w:w="1080" w:type="dxa"/>
          </w:tcPr>
          <w:p w14:paraId="4801F699" w14:textId="77777777" w:rsidR="00533578" w:rsidRDefault="00533578" w:rsidP="00787C91">
            <w:r>
              <w:t>0 (0%)</w:t>
            </w:r>
          </w:p>
        </w:tc>
        <w:tc>
          <w:tcPr>
            <w:tcW w:w="1170" w:type="dxa"/>
          </w:tcPr>
          <w:p w14:paraId="0E5E219A" w14:textId="77777777" w:rsidR="00533578" w:rsidRDefault="00533578" w:rsidP="00787C91">
            <w:r>
              <w:t>5 (11.9%)</w:t>
            </w:r>
          </w:p>
        </w:tc>
        <w:tc>
          <w:tcPr>
            <w:tcW w:w="1269" w:type="dxa"/>
          </w:tcPr>
          <w:p w14:paraId="4C3BD880" w14:textId="77777777" w:rsidR="00533578" w:rsidRDefault="00533578" w:rsidP="00787C91">
            <w:r>
              <w:t>2 (9.5%)</w:t>
            </w:r>
          </w:p>
        </w:tc>
        <w:tc>
          <w:tcPr>
            <w:tcW w:w="973" w:type="dxa"/>
          </w:tcPr>
          <w:p w14:paraId="2EED9240" w14:textId="77777777" w:rsidR="00533578" w:rsidRDefault="00533578" w:rsidP="00787C91">
            <w:r>
              <w:t>1 (20%)</w:t>
            </w:r>
          </w:p>
        </w:tc>
        <w:tc>
          <w:tcPr>
            <w:tcW w:w="1069" w:type="dxa"/>
          </w:tcPr>
          <w:p w14:paraId="6B105C5E" w14:textId="77777777" w:rsidR="00533578" w:rsidRDefault="00533578" w:rsidP="00787C91">
            <w:r>
              <w:t>0 (0%)</w:t>
            </w:r>
          </w:p>
        </w:tc>
        <w:tc>
          <w:tcPr>
            <w:tcW w:w="1099" w:type="dxa"/>
          </w:tcPr>
          <w:p w14:paraId="6DB4680C" w14:textId="77777777" w:rsidR="00533578" w:rsidRDefault="00533578" w:rsidP="00787C91">
            <w:r>
              <w:t>2 (18.2%)</w:t>
            </w:r>
          </w:p>
        </w:tc>
        <w:tc>
          <w:tcPr>
            <w:tcW w:w="1080" w:type="dxa"/>
          </w:tcPr>
          <w:p w14:paraId="3D0895C3" w14:textId="77777777" w:rsidR="00533578" w:rsidRDefault="00533578" w:rsidP="00787C91">
            <w:r>
              <w:t>0 (0%)</w:t>
            </w:r>
          </w:p>
        </w:tc>
        <w:tc>
          <w:tcPr>
            <w:tcW w:w="1170" w:type="dxa"/>
          </w:tcPr>
          <w:p w14:paraId="0D6627FE" w14:textId="77777777" w:rsidR="00533578" w:rsidRDefault="00533578" w:rsidP="00787C91">
            <w:r>
              <w:t>3 (12.0%)</w:t>
            </w:r>
          </w:p>
        </w:tc>
      </w:tr>
      <w:tr w:rsidR="00533578" w14:paraId="251FD84E" w14:textId="77777777" w:rsidTr="00787C91">
        <w:trPr>
          <w:trHeight w:val="350"/>
        </w:trPr>
        <w:tc>
          <w:tcPr>
            <w:tcW w:w="1260" w:type="dxa"/>
            <w:tcBorders>
              <w:top w:val="single" w:sz="4" w:space="0" w:color="auto"/>
              <w:left w:val="single" w:sz="4" w:space="0" w:color="auto"/>
            </w:tcBorders>
          </w:tcPr>
          <w:p w14:paraId="11240F8D" w14:textId="77777777" w:rsidR="00533578" w:rsidRDefault="00533578" w:rsidP="00787C91">
            <w:r>
              <w:t>Slightly Opposed</w:t>
            </w:r>
          </w:p>
        </w:tc>
        <w:tc>
          <w:tcPr>
            <w:tcW w:w="1080" w:type="dxa"/>
          </w:tcPr>
          <w:p w14:paraId="2F754E5E" w14:textId="77777777" w:rsidR="00533578" w:rsidRDefault="00533578" w:rsidP="00787C91">
            <w:r>
              <w:t>0 (0%)</w:t>
            </w:r>
          </w:p>
        </w:tc>
        <w:tc>
          <w:tcPr>
            <w:tcW w:w="1170" w:type="dxa"/>
          </w:tcPr>
          <w:p w14:paraId="424C4430" w14:textId="77777777" w:rsidR="00533578" w:rsidRDefault="00533578" w:rsidP="00787C91">
            <w:r>
              <w:t>1 (2.4%)</w:t>
            </w:r>
          </w:p>
        </w:tc>
        <w:tc>
          <w:tcPr>
            <w:tcW w:w="1269" w:type="dxa"/>
          </w:tcPr>
          <w:p w14:paraId="02E0CFB1" w14:textId="77777777" w:rsidR="00533578" w:rsidRDefault="00533578" w:rsidP="00787C91">
            <w:r>
              <w:t>0 (0%)</w:t>
            </w:r>
          </w:p>
        </w:tc>
        <w:tc>
          <w:tcPr>
            <w:tcW w:w="973" w:type="dxa"/>
          </w:tcPr>
          <w:p w14:paraId="058C5C25" w14:textId="77777777" w:rsidR="00533578" w:rsidRDefault="00533578" w:rsidP="00787C91">
            <w:r>
              <w:t>0 (0%)</w:t>
            </w:r>
          </w:p>
        </w:tc>
        <w:tc>
          <w:tcPr>
            <w:tcW w:w="1069" w:type="dxa"/>
          </w:tcPr>
          <w:p w14:paraId="74B7BCAD" w14:textId="77777777" w:rsidR="00533578" w:rsidRDefault="00533578" w:rsidP="00787C91">
            <w:r>
              <w:t>2 (20.0%)</w:t>
            </w:r>
          </w:p>
        </w:tc>
        <w:tc>
          <w:tcPr>
            <w:tcW w:w="1099" w:type="dxa"/>
          </w:tcPr>
          <w:p w14:paraId="47CE2363" w14:textId="77777777" w:rsidR="00533578" w:rsidRDefault="00533578" w:rsidP="00787C91">
            <w:r>
              <w:t>0 (0.0%)</w:t>
            </w:r>
          </w:p>
        </w:tc>
        <w:tc>
          <w:tcPr>
            <w:tcW w:w="1080" w:type="dxa"/>
          </w:tcPr>
          <w:p w14:paraId="4A3062E8" w14:textId="77777777" w:rsidR="00533578" w:rsidRDefault="00533578" w:rsidP="00787C91">
            <w:r>
              <w:t>0 (0%)</w:t>
            </w:r>
          </w:p>
        </w:tc>
        <w:tc>
          <w:tcPr>
            <w:tcW w:w="1170" w:type="dxa"/>
          </w:tcPr>
          <w:p w14:paraId="3D4F453C" w14:textId="77777777" w:rsidR="00533578" w:rsidRDefault="00533578" w:rsidP="00787C91">
            <w:r>
              <w:t>0 (0%)</w:t>
            </w:r>
          </w:p>
        </w:tc>
      </w:tr>
      <w:tr w:rsidR="00533578" w14:paraId="249AA35B" w14:textId="77777777" w:rsidTr="00787C91">
        <w:trPr>
          <w:trHeight w:val="350"/>
        </w:trPr>
        <w:tc>
          <w:tcPr>
            <w:tcW w:w="1260" w:type="dxa"/>
            <w:tcBorders>
              <w:top w:val="single" w:sz="4" w:space="0" w:color="auto"/>
              <w:left w:val="single" w:sz="4" w:space="0" w:color="auto"/>
              <w:bottom w:val="single" w:sz="4" w:space="0" w:color="auto"/>
            </w:tcBorders>
          </w:tcPr>
          <w:p w14:paraId="51B9E314" w14:textId="77777777" w:rsidR="00533578" w:rsidRDefault="00533578" w:rsidP="00787C91">
            <w:r>
              <w:t>Strongly Opposed</w:t>
            </w:r>
          </w:p>
        </w:tc>
        <w:tc>
          <w:tcPr>
            <w:tcW w:w="1080" w:type="dxa"/>
          </w:tcPr>
          <w:p w14:paraId="63495FB0" w14:textId="77777777" w:rsidR="00533578" w:rsidRDefault="00533578" w:rsidP="00787C91">
            <w:r>
              <w:t>0 (0%)</w:t>
            </w:r>
          </w:p>
        </w:tc>
        <w:tc>
          <w:tcPr>
            <w:tcW w:w="1170" w:type="dxa"/>
          </w:tcPr>
          <w:p w14:paraId="10E8D295" w14:textId="77777777" w:rsidR="00533578" w:rsidRDefault="00533578" w:rsidP="00787C91">
            <w:r>
              <w:t>2 (4.8%)</w:t>
            </w:r>
          </w:p>
        </w:tc>
        <w:tc>
          <w:tcPr>
            <w:tcW w:w="1269" w:type="dxa"/>
          </w:tcPr>
          <w:p w14:paraId="4EE36A55" w14:textId="77777777" w:rsidR="00533578" w:rsidRDefault="00533578" w:rsidP="00787C91">
            <w:r>
              <w:t>0 (0%)</w:t>
            </w:r>
          </w:p>
        </w:tc>
        <w:tc>
          <w:tcPr>
            <w:tcW w:w="973" w:type="dxa"/>
          </w:tcPr>
          <w:p w14:paraId="05730E4F" w14:textId="77777777" w:rsidR="00533578" w:rsidRDefault="00533578" w:rsidP="00787C91">
            <w:r>
              <w:t>0 (0%)</w:t>
            </w:r>
          </w:p>
        </w:tc>
        <w:tc>
          <w:tcPr>
            <w:tcW w:w="1069" w:type="dxa"/>
          </w:tcPr>
          <w:p w14:paraId="29F88E7E" w14:textId="77777777" w:rsidR="00533578" w:rsidRDefault="00533578" w:rsidP="00787C91">
            <w:r>
              <w:t>0 (0%)</w:t>
            </w:r>
          </w:p>
        </w:tc>
        <w:tc>
          <w:tcPr>
            <w:tcW w:w="1099" w:type="dxa"/>
          </w:tcPr>
          <w:p w14:paraId="3F7F4E8A" w14:textId="77777777" w:rsidR="00533578" w:rsidRDefault="00533578" w:rsidP="00787C91">
            <w:r>
              <w:t>0 (0%)</w:t>
            </w:r>
          </w:p>
        </w:tc>
        <w:tc>
          <w:tcPr>
            <w:tcW w:w="1080" w:type="dxa"/>
          </w:tcPr>
          <w:p w14:paraId="11F4EB03" w14:textId="77777777" w:rsidR="00533578" w:rsidRDefault="00533578" w:rsidP="00787C91">
            <w:r>
              <w:t>0 (0%)</w:t>
            </w:r>
          </w:p>
        </w:tc>
        <w:tc>
          <w:tcPr>
            <w:tcW w:w="1170" w:type="dxa"/>
          </w:tcPr>
          <w:p w14:paraId="7BE8949F" w14:textId="77777777" w:rsidR="00533578" w:rsidRDefault="00533578" w:rsidP="00787C91">
            <w:r>
              <w:t>0 (0%)</w:t>
            </w:r>
          </w:p>
        </w:tc>
      </w:tr>
      <w:tr w:rsidR="00533578" w14:paraId="26674A23" w14:textId="77777777" w:rsidTr="00787C91">
        <w:tc>
          <w:tcPr>
            <w:tcW w:w="4779" w:type="dxa"/>
            <w:gridSpan w:val="4"/>
            <w:tcBorders>
              <w:top w:val="single" w:sz="4" w:space="0" w:color="auto"/>
              <w:left w:val="single" w:sz="4" w:space="0" w:color="auto"/>
            </w:tcBorders>
          </w:tcPr>
          <w:p w14:paraId="5B799CD1" w14:textId="77777777" w:rsidR="00533578" w:rsidRPr="0053223D" w:rsidRDefault="00533578" w:rsidP="00787C91">
            <w:pPr>
              <w:jc w:val="center"/>
              <w:rPr>
                <w:sz w:val="20"/>
                <w:szCs w:val="20"/>
              </w:rPr>
            </w:pPr>
            <w:r w:rsidRPr="0053223D">
              <w:rPr>
                <w:sz w:val="20"/>
                <w:szCs w:val="20"/>
              </w:rPr>
              <w:t>Percentages are percentages within columns</w:t>
            </w:r>
          </w:p>
        </w:tc>
        <w:tc>
          <w:tcPr>
            <w:tcW w:w="973" w:type="dxa"/>
            <w:tcBorders>
              <w:top w:val="single" w:sz="4" w:space="0" w:color="auto"/>
              <w:left w:val="single" w:sz="4" w:space="0" w:color="auto"/>
            </w:tcBorders>
          </w:tcPr>
          <w:p w14:paraId="6381F80F" w14:textId="77777777" w:rsidR="00533578" w:rsidRPr="0053223D" w:rsidRDefault="00533578" w:rsidP="00787C91">
            <w:pPr>
              <w:jc w:val="center"/>
              <w:rPr>
                <w:sz w:val="20"/>
                <w:szCs w:val="20"/>
              </w:rPr>
            </w:pPr>
          </w:p>
        </w:tc>
        <w:tc>
          <w:tcPr>
            <w:tcW w:w="1069" w:type="dxa"/>
            <w:tcBorders>
              <w:top w:val="single" w:sz="4" w:space="0" w:color="auto"/>
              <w:left w:val="single" w:sz="4" w:space="0" w:color="auto"/>
              <w:right w:val="single" w:sz="4" w:space="0" w:color="auto"/>
            </w:tcBorders>
          </w:tcPr>
          <w:p w14:paraId="0C163424" w14:textId="77777777" w:rsidR="00533578" w:rsidRPr="0053223D" w:rsidRDefault="00533578" w:rsidP="00787C91">
            <w:pPr>
              <w:jc w:val="center"/>
              <w:rPr>
                <w:sz w:val="20"/>
                <w:szCs w:val="20"/>
              </w:rPr>
            </w:pPr>
          </w:p>
        </w:tc>
        <w:tc>
          <w:tcPr>
            <w:tcW w:w="1099" w:type="dxa"/>
            <w:tcBorders>
              <w:top w:val="single" w:sz="4" w:space="0" w:color="auto"/>
              <w:left w:val="single" w:sz="4" w:space="0" w:color="auto"/>
            </w:tcBorders>
          </w:tcPr>
          <w:p w14:paraId="4ADAF0A4" w14:textId="77777777" w:rsidR="00533578" w:rsidRPr="0053223D" w:rsidRDefault="00533578" w:rsidP="00787C91">
            <w:pPr>
              <w:jc w:val="center"/>
              <w:rPr>
                <w:sz w:val="20"/>
                <w:szCs w:val="20"/>
              </w:rPr>
            </w:pPr>
          </w:p>
        </w:tc>
        <w:tc>
          <w:tcPr>
            <w:tcW w:w="1080" w:type="dxa"/>
            <w:tcBorders>
              <w:top w:val="single" w:sz="4" w:space="0" w:color="auto"/>
              <w:left w:val="single" w:sz="4" w:space="0" w:color="auto"/>
            </w:tcBorders>
          </w:tcPr>
          <w:p w14:paraId="4C4E99D2" w14:textId="77777777" w:rsidR="00533578" w:rsidRPr="0053223D" w:rsidRDefault="00533578" w:rsidP="00787C91">
            <w:pPr>
              <w:jc w:val="center"/>
              <w:rPr>
                <w:sz w:val="20"/>
                <w:szCs w:val="20"/>
              </w:rPr>
            </w:pPr>
          </w:p>
        </w:tc>
        <w:tc>
          <w:tcPr>
            <w:tcW w:w="1170" w:type="dxa"/>
            <w:tcBorders>
              <w:top w:val="single" w:sz="4" w:space="0" w:color="auto"/>
              <w:left w:val="single" w:sz="4" w:space="0" w:color="auto"/>
            </w:tcBorders>
          </w:tcPr>
          <w:p w14:paraId="7E6FE9BF" w14:textId="77777777" w:rsidR="00533578" w:rsidRPr="0053223D" w:rsidRDefault="00533578" w:rsidP="00787C91">
            <w:pPr>
              <w:jc w:val="center"/>
              <w:rPr>
                <w:sz w:val="20"/>
                <w:szCs w:val="20"/>
              </w:rPr>
            </w:pPr>
          </w:p>
        </w:tc>
      </w:tr>
    </w:tbl>
    <w:p w14:paraId="6393DD08" w14:textId="77777777" w:rsidR="00ED0C5E" w:rsidRDefault="00ED0C5E" w:rsidP="00ED0C5E">
      <w:pPr>
        <w:spacing w:after="0"/>
        <w:ind w:left="720"/>
        <w:rPr>
          <w:rStyle w:val="ng-scope"/>
          <w:i/>
          <w:sz w:val="20"/>
          <w:szCs w:val="20"/>
        </w:rPr>
      </w:pPr>
    </w:p>
    <w:p w14:paraId="4F0B64AC" w14:textId="77777777" w:rsidR="00D26FBB" w:rsidRPr="00255809" w:rsidRDefault="00D26FBB" w:rsidP="00D26FBB">
      <w:pPr>
        <w:spacing w:after="0"/>
        <w:ind w:left="720"/>
        <w:jc w:val="right"/>
        <w:rPr>
          <w:rStyle w:val="ng-scope"/>
          <w:sz w:val="18"/>
          <w:szCs w:val="18"/>
        </w:rPr>
      </w:pPr>
    </w:p>
    <w:p w14:paraId="0321E7E4" w14:textId="77777777" w:rsidR="00D26FBB" w:rsidRPr="00255809" w:rsidRDefault="00D26FBB" w:rsidP="00D26FBB">
      <w:pPr>
        <w:spacing w:after="0"/>
        <w:ind w:left="720"/>
        <w:rPr>
          <w:rStyle w:val="ng-scope"/>
          <w:i/>
          <w:sz w:val="18"/>
          <w:szCs w:val="18"/>
        </w:rPr>
      </w:pPr>
      <w:r w:rsidRPr="00255809">
        <w:rPr>
          <w:rStyle w:val="ng-scope"/>
          <w:i/>
          <w:sz w:val="18"/>
          <w:szCs w:val="18"/>
        </w:rPr>
        <w:t>I will be starting my second year and hope this would take effect for my upcoming Masters!</w:t>
      </w:r>
    </w:p>
    <w:p w14:paraId="46C9BB4B" w14:textId="77777777" w:rsidR="00D26FBB" w:rsidRPr="00255809" w:rsidRDefault="00D26FBB" w:rsidP="00D26FBB">
      <w:pPr>
        <w:spacing w:after="0"/>
        <w:ind w:left="720"/>
        <w:jc w:val="right"/>
        <w:rPr>
          <w:rStyle w:val="ng-scope"/>
          <w:sz w:val="18"/>
          <w:szCs w:val="18"/>
        </w:rPr>
      </w:pPr>
      <w:r w:rsidRPr="00255809">
        <w:rPr>
          <w:rStyle w:val="ng-scope"/>
          <w:sz w:val="18"/>
          <w:szCs w:val="18"/>
        </w:rPr>
        <w:t>Developmental Graduate Student</w:t>
      </w:r>
    </w:p>
    <w:p w14:paraId="4422FF32" w14:textId="77777777" w:rsidR="00D26FBB" w:rsidRPr="00255809" w:rsidRDefault="00D26FBB" w:rsidP="00D26FBB">
      <w:pPr>
        <w:spacing w:after="0"/>
        <w:ind w:left="720"/>
        <w:jc w:val="right"/>
        <w:rPr>
          <w:sz w:val="18"/>
          <w:szCs w:val="18"/>
        </w:rPr>
      </w:pPr>
    </w:p>
    <w:p w14:paraId="0DA4EE92" w14:textId="77777777" w:rsidR="00D26FBB" w:rsidRPr="00255809" w:rsidRDefault="00D26FBB" w:rsidP="00D26FBB">
      <w:pPr>
        <w:spacing w:after="0"/>
        <w:ind w:left="720"/>
        <w:rPr>
          <w:rStyle w:val="ng-scope"/>
          <w:sz w:val="18"/>
          <w:szCs w:val="18"/>
        </w:rPr>
      </w:pPr>
      <w:r w:rsidRPr="00255809">
        <w:rPr>
          <w:rStyle w:val="ng-scope"/>
          <w:i/>
          <w:sz w:val="18"/>
          <w:szCs w:val="18"/>
        </w:rPr>
        <w:t>I think this is a great proposal and agree that it reflects the work we do in the program.</w:t>
      </w:r>
    </w:p>
    <w:p w14:paraId="0B60FC82" w14:textId="77777777" w:rsidR="00D26FBB" w:rsidRDefault="00D26FBB" w:rsidP="00D26FBB">
      <w:pPr>
        <w:spacing w:after="0"/>
        <w:ind w:left="720"/>
        <w:jc w:val="right"/>
        <w:rPr>
          <w:rStyle w:val="ng-scope"/>
          <w:sz w:val="18"/>
          <w:szCs w:val="18"/>
        </w:rPr>
      </w:pPr>
      <w:r w:rsidRPr="00255809">
        <w:rPr>
          <w:rStyle w:val="ng-scope"/>
          <w:sz w:val="18"/>
          <w:szCs w:val="18"/>
        </w:rPr>
        <w:t>Clinical Graduate Student</w:t>
      </w:r>
    </w:p>
    <w:p w14:paraId="3A935E36" w14:textId="77777777" w:rsidR="00ED0C5E" w:rsidRPr="00255809" w:rsidRDefault="00ED0C5E" w:rsidP="00D26FBB">
      <w:pPr>
        <w:spacing w:after="0"/>
        <w:rPr>
          <w:rStyle w:val="ng-scope"/>
          <w:sz w:val="18"/>
          <w:szCs w:val="18"/>
        </w:rPr>
      </w:pPr>
    </w:p>
    <w:p w14:paraId="42922372" w14:textId="77777777" w:rsidR="00ED0C5E" w:rsidRPr="00255809" w:rsidRDefault="00ED0C5E" w:rsidP="00ED0C5E">
      <w:pPr>
        <w:spacing w:after="0"/>
        <w:ind w:left="720"/>
        <w:rPr>
          <w:rStyle w:val="ng-scope"/>
          <w:sz w:val="18"/>
          <w:szCs w:val="18"/>
        </w:rPr>
      </w:pPr>
      <w:r w:rsidRPr="00255809">
        <w:rPr>
          <w:rStyle w:val="ng-scope"/>
          <w:i/>
          <w:sz w:val="18"/>
          <w:szCs w:val="18"/>
        </w:rPr>
        <w:t>I think changing to an MS is an excellent idea and I strongly support it. Way too many of our psych students leave after their masters, and I think the department owes those students a degree that will actually be useful in the job market.</w:t>
      </w:r>
    </w:p>
    <w:p w14:paraId="7B66A07B" w14:textId="77777777" w:rsidR="00ED0C5E" w:rsidRPr="00255809" w:rsidRDefault="00ED0C5E" w:rsidP="00ED0C5E">
      <w:pPr>
        <w:spacing w:after="0"/>
        <w:ind w:left="720"/>
        <w:jc w:val="right"/>
        <w:rPr>
          <w:rStyle w:val="ng-scope"/>
          <w:sz w:val="18"/>
          <w:szCs w:val="18"/>
        </w:rPr>
      </w:pPr>
      <w:r w:rsidRPr="00255809">
        <w:rPr>
          <w:rStyle w:val="ng-scope"/>
          <w:sz w:val="18"/>
          <w:szCs w:val="18"/>
        </w:rPr>
        <w:t>Decision Graduate Student</w:t>
      </w:r>
    </w:p>
    <w:p w14:paraId="2B27873F" w14:textId="77777777" w:rsidR="00ED0C5E" w:rsidRPr="00255809" w:rsidRDefault="00ED0C5E" w:rsidP="00ED0C5E">
      <w:pPr>
        <w:spacing w:after="0"/>
        <w:ind w:left="720"/>
        <w:jc w:val="right"/>
        <w:rPr>
          <w:rStyle w:val="ng-scope"/>
          <w:sz w:val="18"/>
          <w:szCs w:val="18"/>
        </w:rPr>
      </w:pPr>
    </w:p>
    <w:p w14:paraId="267C3968" w14:textId="77777777" w:rsidR="00ED0C5E" w:rsidRPr="00255809" w:rsidRDefault="00ED0C5E" w:rsidP="00ED0C5E">
      <w:pPr>
        <w:spacing w:after="0"/>
        <w:ind w:left="720"/>
        <w:rPr>
          <w:rStyle w:val="ng-scope"/>
          <w:sz w:val="18"/>
          <w:szCs w:val="18"/>
        </w:rPr>
      </w:pPr>
      <w:r w:rsidRPr="00255809">
        <w:rPr>
          <w:rStyle w:val="ng-scope"/>
          <w:i/>
          <w:sz w:val="18"/>
          <w:szCs w:val="18"/>
        </w:rPr>
        <w:t xml:space="preserve">I received my MA several years ago from this department and have always held the complaint that </w:t>
      </w:r>
      <w:proofErr w:type="gramStart"/>
      <w:r w:rsidRPr="00255809">
        <w:rPr>
          <w:rStyle w:val="ng-scope"/>
          <w:i/>
          <w:sz w:val="18"/>
          <w:szCs w:val="18"/>
        </w:rPr>
        <w:t>an 'MS'</w:t>
      </w:r>
      <w:proofErr w:type="gramEnd"/>
      <w:r w:rsidRPr="00255809">
        <w:rPr>
          <w:rStyle w:val="ng-scope"/>
          <w:i/>
          <w:sz w:val="18"/>
          <w:szCs w:val="18"/>
        </w:rPr>
        <w:t xml:space="preserve"> is a much more appropriate representation of my studies.</w:t>
      </w:r>
    </w:p>
    <w:p w14:paraId="06B30322" w14:textId="77777777" w:rsidR="00ED0C5E" w:rsidRPr="00255809" w:rsidRDefault="00ED0C5E" w:rsidP="00ED0C5E">
      <w:pPr>
        <w:spacing w:after="0"/>
        <w:ind w:left="720"/>
        <w:jc w:val="right"/>
        <w:rPr>
          <w:rStyle w:val="ng-scope"/>
          <w:sz w:val="18"/>
          <w:szCs w:val="18"/>
        </w:rPr>
      </w:pPr>
      <w:r w:rsidRPr="00255809">
        <w:rPr>
          <w:rStyle w:val="ng-scope"/>
          <w:sz w:val="18"/>
          <w:szCs w:val="18"/>
        </w:rPr>
        <w:t>Cognitive Graduate Student</w:t>
      </w:r>
    </w:p>
    <w:p w14:paraId="1C8BD33F" w14:textId="77777777" w:rsidR="00ED0C5E" w:rsidRPr="00255809" w:rsidRDefault="00ED0C5E" w:rsidP="00ED0C5E">
      <w:pPr>
        <w:spacing w:after="0"/>
        <w:ind w:left="720"/>
        <w:jc w:val="right"/>
        <w:rPr>
          <w:rStyle w:val="ng-scope"/>
          <w:sz w:val="18"/>
          <w:szCs w:val="18"/>
        </w:rPr>
      </w:pPr>
    </w:p>
    <w:p w14:paraId="3B33CB96" w14:textId="77777777" w:rsidR="00ED0C5E" w:rsidRPr="00255809" w:rsidRDefault="00ED0C5E" w:rsidP="00ED0C5E">
      <w:pPr>
        <w:spacing w:after="0"/>
        <w:ind w:left="720"/>
        <w:rPr>
          <w:rStyle w:val="ng-scope"/>
          <w:sz w:val="18"/>
          <w:szCs w:val="18"/>
        </w:rPr>
      </w:pPr>
      <w:r w:rsidRPr="00255809">
        <w:rPr>
          <w:rStyle w:val="ng-scope"/>
          <w:i/>
          <w:sz w:val="18"/>
          <w:szCs w:val="18"/>
        </w:rPr>
        <w:t>I think this is a great idea and with more accurately reflect the nature of work that we do and the emphasis our program places on science (e.g. rigorous statistical and research methods)</w:t>
      </w:r>
      <w:r w:rsidRPr="00255809">
        <w:rPr>
          <w:rStyle w:val="ng-scope"/>
          <w:sz w:val="18"/>
          <w:szCs w:val="18"/>
        </w:rPr>
        <w:t>.</w:t>
      </w:r>
    </w:p>
    <w:p w14:paraId="4D162012" w14:textId="77777777" w:rsidR="00ED0C5E" w:rsidRPr="00255809" w:rsidRDefault="00ED0C5E" w:rsidP="00ED0C5E">
      <w:pPr>
        <w:spacing w:after="0"/>
        <w:ind w:left="720"/>
        <w:jc w:val="right"/>
        <w:rPr>
          <w:rStyle w:val="ng-scope"/>
          <w:sz w:val="18"/>
          <w:szCs w:val="18"/>
        </w:rPr>
      </w:pPr>
      <w:r w:rsidRPr="00255809">
        <w:rPr>
          <w:rStyle w:val="ng-scope"/>
          <w:sz w:val="18"/>
          <w:szCs w:val="18"/>
        </w:rPr>
        <w:t>Clinical Graduate Student</w:t>
      </w:r>
    </w:p>
    <w:p w14:paraId="64D91F90" w14:textId="77777777" w:rsidR="00ED0C5E" w:rsidRPr="00255809" w:rsidRDefault="00ED0C5E" w:rsidP="00ED0C5E">
      <w:pPr>
        <w:spacing w:after="0"/>
        <w:ind w:left="720"/>
        <w:jc w:val="right"/>
        <w:rPr>
          <w:rStyle w:val="ng-scope"/>
          <w:i/>
          <w:sz w:val="18"/>
          <w:szCs w:val="18"/>
        </w:rPr>
      </w:pPr>
    </w:p>
    <w:p w14:paraId="789CCD06" w14:textId="77777777" w:rsidR="00ED0C5E" w:rsidRPr="00255809" w:rsidRDefault="00ED0C5E" w:rsidP="00ED0C5E">
      <w:pPr>
        <w:spacing w:after="0"/>
        <w:ind w:left="720"/>
        <w:rPr>
          <w:rStyle w:val="ng-scope"/>
          <w:sz w:val="18"/>
          <w:szCs w:val="18"/>
        </w:rPr>
      </w:pPr>
      <w:r w:rsidRPr="00255809">
        <w:rPr>
          <w:rStyle w:val="ng-scope"/>
          <w:i/>
          <w:sz w:val="18"/>
          <w:szCs w:val="18"/>
        </w:rPr>
        <w:t>This should have been done years ago! M.S. degrees are more highly regarded than M.A. degrees in industry and government</w:t>
      </w:r>
    </w:p>
    <w:p w14:paraId="327246BB" w14:textId="77777777" w:rsidR="00ED0C5E" w:rsidRPr="00255809" w:rsidRDefault="00ED0C5E" w:rsidP="00ED0C5E">
      <w:pPr>
        <w:spacing w:after="0"/>
        <w:ind w:left="720"/>
        <w:jc w:val="right"/>
        <w:rPr>
          <w:rStyle w:val="ng-scope"/>
          <w:sz w:val="18"/>
          <w:szCs w:val="18"/>
        </w:rPr>
      </w:pPr>
      <w:r w:rsidRPr="00255809">
        <w:rPr>
          <w:rStyle w:val="ng-scope"/>
          <w:sz w:val="18"/>
          <w:szCs w:val="18"/>
        </w:rPr>
        <w:t>Quantitative Graduate Student</w:t>
      </w:r>
    </w:p>
    <w:p w14:paraId="65104EF8" w14:textId="77777777" w:rsidR="00ED0C5E" w:rsidRPr="00255809" w:rsidRDefault="00ED0C5E" w:rsidP="00ED0C5E">
      <w:pPr>
        <w:spacing w:after="0"/>
        <w:rPr>
          <w:rStyle w:val="ng-scope"/>
          <w:sz w:val="18"/>
          <w:szCs w:val="18"/>
        </w:rPr>
      </w:pPr>
    </w:p>
    <w:p w14:paraId="3DB27488" w14:textId="77777777" w:rsidR="00ED0C5E" w:rsidRPr="00255809" w:rsidRDefault="00ED0C5E" w:rsidP="00ED0C5E">
      <w:pPr>
        <w:spacing w:after="0"/>
        <w:ind w:left="720"/>
        <w:rPr>
          <w:rStyle w:val="ng-scope"/>
          <w:sz w:val="18"/>
          <w:szCs w:val="18"/>
        </w:rPr>
      </w:pPr>
      <w:r w:rsidRPr="00255809">
        <w:rPr>
          <w:rStyle w:val="ng-scope"/>
          <w:i/>
          <w:sz w:val="18"/>
          <w:szCs w:val="18"/>
        </w:rPr>
        <w:t xml:space="preserve">100% support this transition! (... </w:t>
      </w:r>
      <w:proofErr w:type="gramStart"/>
      <w:r w:rsidRPr="00255809">
        <w:rPr>
          <w:rStyle w:val="ng-scope"/>
          <w:i/>
          <w:sz w:val="18"/>
          <w:szCs w:val="18"/>
        </w:rPr>
        <w:t>and</w:t>
      </w:r>
      <w:proofErr w:type="gramEnd"/>
      <w:r w:rsidRPr="00255809">
        <w:rPr>
          <w:rStyle w:val="ng-scope"/>
          <w:i/>
          <w:sz w:val="18"/>
          <w:szCs w:val="18"/>
        </w:rPr>
        <w:t xml:space="preserve"> feel a little peeved it didn't happen sooner.... can we get our previous M.A. degrees changed retroactively?)</w:t>
      </w:r>
    </w:p>
    <w:p w14:paraId="022D6997" w14:textId="77777777" w:rsidR="00ED0C5E" w:rsidRPr="00255809" w:rsidRDefault="00ED0C5E" w:rsidP="00ED0C5E">
      <w:pPr>
        <w:spacing w:after="0"/>
        <w:ind w:left="720"/>
        <w:jc w:val="right"/>
        <w:rPr>
          <w:rStyle w:val="ng-scope"/>
          <w:sz w:val="18"/>
          <w:szCs w:val="18"/>
        </w:rPr>
      </w:pPr>
      <w:r w:rsidRPr="00255809">
        <w:rPr>
          <w:rStyle w:val="ng-scope"/>
          <w:sz w:val="18"/>
          <w:szCs w:val="18"/>
        </w:rPr>
        <w:t>Social Graduate Student</w:t>
      </w:r>
    </w:p>
    <w:p w14:paraId="233873B7" w14:textId="77777777" w:rsidR="00ED0C5E" w:rsidRPr="00255809" w:rsidRDefault="00ED0C5E" w:rsidP="00ED0C5E">
      <w:pPr>
        <w:spacing w:after="0"/>
        <w:rPr>
          <w:rStyle w:val="ng-scope"/>
          <w:sz w:val="18"/>
          <w:szCs w:val="18"/>
        </w:rPr>
      </w:pPr>
    </w:p>
    <w:p w14:paraId="47BBED41" w14:textId="77777777" w:rsidR="00ED0C5E" w:rsidRPr="00255809" w:rsidRDefault="00ED0C5E" w:rsidP="00ED0C5E">
      <w:pPr>
        <w:spacing w:after="0"/>
        <w:ind w:left="720"/>
        <w:rPr>
          <w:rStyle w:val="ng-scope"/>
          <w:sz w:val="18"/>
          <w:szCs w:val="18"/>
        </w:rPr>
      </w:pPr>
      <w:r w:rsidRPr="00255809">
        <w:rPr>
          <w:rStyle w:val="ng-scope"/>
          <w:i/>
          <w:sz w:val="18"/>
          <w:szCs w:val="18"/>
        </w:rPr>
        <w:t xml:space="preserve">I strongly believe that this is a </w:t>
      </w:r>
      <w:proofErr w:type="gramStart"/>
      <w:r w:rsidRPr="00255809">
        <w:rPr>
          <w:rStyle w:val="ng-scope"/>
          <w:i/>
          <w:sz w:val="18"/>
          <w:szCs w:val="18"/>
        </w:rPr>
        <w:t>much needed</w:t>
      </w:r>
      <w:proofErr w:type="gramEnd"/>
      <w:r w:rsidRPr="00255809">
        <w:rPr>
          <w:rStyle w:val="ng-scope"/>
          <w:i/>
          <w:sz w:val="18"/>
          <w:szCs w:val="18"/>
        </w:rPr>
        <w:t xml:space="preserve"> change. </w:t>
      </w:r>
    </w:p>
    <w:p w14:paraId="0F89A2D2" w14:textId="77777777" w:rsidR="00ED0C5E" w:rsidRPr="00255809" w:rsidRDefault="00ED0C5E" w:rsidP="00ED0C5E">
      <w:pPr>
        <w:spacing w:after="0"/>
        <w:ind w:left="720"/>
        <w:jc w:val="right"/>
        <w:rPr>
          <w:rStyle w:val="ng-scope"/>
          <w:sz w:val="18"/>
          <w:szCs w:val="18"/>
        </w:rPr>
      </w:pPr>
      <w:r w:rsidRPr="00255809">
        <w:rPr>
          <w:rStyle w:val="ng-scope"/>
          <w:sz w:val="18"/>
          <w:szCs w:val="18"/>
        </w:rPr>
        <w:t>Cognitive Graduate Student</w:t>
      </w:r>
    </w:p>
    <w:p w14:paraId="2E37FB5A" w14:textId="77777777" w:rsidR="00ED0C5E" w:rsidRPr="00255809" w:rsidRDefault="00ED0C5E" w:rsidP="00ED0C5E">
      <w:pPr>
        <w:spacing w:after="0"/>
        <w:ind w:left="720"/>
        <w:jc w:val="right"/>
        <w:rPr>
          <w:rStyle w:val="ng-scope"/>
          <w:sz w:val="18"/>
          <w:szCs w:val="18"/>
        </w:rPr>
      </w:pPr>
    </w:p>
    <w:p w14:paraId="34B273DA" w14:textId="77777777" w:rsidR="00ED0C5E" w:rsidRPr="00255809" w:rsidRDefault="00ED0C5E" w:rsidP="00ED0C5E">
      <w:pPr>
        <w:spacing w:after="0"/>
        <w:ind w:left="720"/>
        <w:rPr>
          <w:rStyle w:val="ng-scope"/>
          <w:sz w:val="18"/>
          <w:szCs w:val="18"/>
        </w:rPr>
      </w:pPr>
      <w:r w:rsidRPr="00255809">
        <w:rPr>
          <w:rStyle w:val="ng-scope"/>
          <w:i/>
          <w:sz w:val="18"/>
          <w:szCs w:val="18"/>
        </w:rPr>
        <w:t>Seems like an obviously beneficial change, and more accurately representative of the demands of the degree.</w:t>
      </w:r>
    </w:p>
    <w:p w14:paraId="3D1348F6" w14:textId="77777777" w:rsidR="00ED0C5E" w:rsidRPr="00255809" w:rsidRDefault="00ED0C5E" w:rsidP="00ED0C5E">
      <w:pPr>
        <w:spacing w:after="0"/>
        <w:ind w:left="720"/>
        <w:jc w:val="right"/>
        <w:rPr>
          <w:rStyle w:val="ng-scope"/>
          <w:sz w:val="18"/>
          <w:szCs w:val="18"/>
        </w:rPr>
      </w:pPr>
      <w:r w:rsidRPr="00255809">
        <w:rPr>
          <w:rStyle w:val="ng-scope"/>
          <w:sz w:val="18"/>
          <w:szCs w:val="18"/>
        </w:rPr>
        <w:t>Social Graduate Student</w:t>
      </w:r>
    </w:p>
    <w:p w14:paraId="27E2EC3F" w14:textId="77777777" w:rsidR="00ED0C5E" w:rsidRDefault="00ED0C5E" w:rsidP="00ED0C5E">
      <w:pPr>
        <w:spacing w:after="0"/>
        <w:ind w:left="720"/>
        <w:jc w:val="right"/>
        <w:rPr>
          <w:rStyle w:val="ng-scope"/>
          <w:sz w:val="18"/>
          <w:szCs w:val="18"/>
        </w:rPr>
      </w:pPr>
    </w:p>
    <w:p w14:paraId="48D5E8F6" w14:textId="77777777" w:rsidR="00D26FBB" w:rsidRDefault="00D26FBB" w:rsidP="00ED0C5E">
      <w:pPr>
        <w:spacing w:after="0"/>
        <w:ind w:left="720"/>
        <w:jc w:val="right"/>
        <w:rPr>
          <w:rStyle w:val="ng-scope"/>
          <w:sz w:val="18"/>
          <w:szCs w:val="18"/>
        </w:rPr>
      </w:pPr>
    </w:p>
    <w:p w14:paraId="5156FA43" w14:textId="77777777" w:rsidR="00D26FBB" w:rsidRPr="00255809" w:rsidRDefault="00D26FBB" w:rsidP="00ED0C5E">
      <w:pPr>
        <w:spacing w:after="0"/>
        <w:ind w:left="720"/>
        <w:jc w:val="right"/>
        <w:rPr>
          <w:rStyle w:val="ng-scope"/>
          <w:sz w:val="18"/>
          <w:szCs w:val="18"/>
        </w:rPr>
      </w:pPr>
    </w:p>
    <w:p w14:paraId="478DEF6C" w14:textId="77777777" w:rsidR="00ED0C5E" w:rsidRPr="00255809" w:rsidRDefault="00ED0C5E" w:rsidP="00ED0C5E">
      <w:pPr>
        <w:spacing w:after="0"/>
        <w:ind w:left="720"/>
        <w:rPr>
          <w:rStyle w:val="ng-scope"/>
          <w:i/>
          <w:sz w:val="18"/>
          <w:szCs w:val="18"/>
        </w:rPr>
      </w:pPr>
      <w:r w:rsidRPr="00255809">
        <w:rPr>
          <w:rStyle w:val="ng-scope"/>
          <w:i/>
          <w:sz w:val="18"/>
          <w:szCs w:val="18"/>
        </w:rPr>
        <w:t>I agree that the word science better represents our training and the work required to complete a thesis.</w:t>
      </w:r>
    </w:p>
    <w:p w14:paraId="2B26E777" w14:textId="77777777" w:rsidR="00255809" w:rsidRPr="00255809" w:rsidRDefault="00255809" w:rsidP="00ED0C5E">
      <w:pPr>
        <w:spacing w:after="0"/>
        <w:ind w:left="720"/>
        <w:rPr>
          <w:rStyle w:val="ng-scope"/>
          <w:sz w:val="18"/>
          <w:szCs w:val="18"/>
        </w:rPr>
      </w:pPr>
    </w:p>
    <w:p w14:paraId="0E8A82EC" w14:textId="77777777" w:rsidR="00ED0C5E" w:rsidRPr="00255809" w:rsidRDefault="00ED0C5E" w:rsidP="00ED0C5E">
      <w:pPr>
        <w:spacing w:after="0"/>
        <w:ind w:left="720"/>
        <w:jc w:val="right"/>
        <w:rPr>
          <w:rStyle w:val="ng-scope"/>
          <w:sz w:val="18"/>
          <w:szCs w:val="18"/>
        </w:rPr>
      </w:pPr>
      <w:r w:rsidRPr="00255809">
        <w:rPr>
          <w:rStyle w:val="ng-scope"/>
          <w:sz w:val="18"/>
          <w:szCs w:val="18"/>
        </w:rPr>
        <w:lastRenderedPageBreak/>
        <w:t>Clinical Graduate Student</w:t>
      </w:r>
    </w:p>
    <w:p w14:paraId="72CD3E2B" w14:textId="77777777" w:rsidR="00ED0C5E" w:rsidRPr="00255809" w:rsidRDefault="00ED0C5E" w:rsidP="00ED0C5E">
      <w:pPr>
        <w:spacing w:after="0"/>
        <w:ind w:left="720"/>
        <w:rPr>
          <w:rStyle w:val="ng-scope"/>
          <w:i/>
          <w:sz w:val="18"/>
          <w:szCs w:val="18"/>
        </w:rPr>
      </w:pPr>
    </w:p>
    <w:p w14:paraId="46D6FECB" w14:textId="77777777" w:rsidR="00ED0C5E" w:rsidRPr="00255809" w:rsidRDefault="00ED0C5E" w:rsidP="00ED0C5E">
      <w:pPr>
        <w:spacing w:after="0"/>
        <w:ind w:left="720"/>
        <w:rPr>
          <w:rStyle w:val="ng-scope"/>
          <w:sz w:val="18"/>
          <w:szCs w:val="18"/>
        </w:rPr>
      </w:pPr>
      <w:r w:rsidRPr="00255809">
        <w:rPr>
          <w:rStyle w:val="ng-scope"/>
          <w:i/>
          <w:sz w:val="18"/>
          <w:szCs w:val="18"/>
        </w:rPr>
        <w:t>It has always been unclear to me why we it's an MA rather than an MS in the first place - I never felt like my Master's reflected the work I did to earn it. I think this would be much more reflective of the work needed to earn the degree.</w:t>
      </w:r>
    </w:p>
    <w:p w14:paraId="40F97F4C" w14:textId="77777777" w:rsidR="00ED0C5E" w:rsidRPr="00255809" w:rsidRDefault="00ED0C5E" w:rsidP="00ED0C5E">
      <w:pPr>
        <w:spacing w:after="0"/>
        <w:ind w:left="720"/>
        <w:jc w:val="right"/>
        <w:rPr>
          <w:rStyle w:val="ng-scope"/>
          <w:sz w:val="18"/>
          <w:szCs w:val="18"/>
        </w:rPr>
      </w:pPr>
      <w:r w:rsidRPr="00255809">
        <w:rPr>
          <w:rStyle w:val="ng-scope"/>
          <w:sz w:val="18"/>
          <w:szCs w:val="18"/>
        </w:rPr>
        <w:t>Social Graduate Student</w:t>
      </w:r>
    </w:p>
    <w:p w14:paraId="3E956060" w14:textId="77777777" w:rsidR="00ED0C5E" w:rsidRPr="00255809" w:rsidRDefault="00ED0C5E" w:rsidP="00ED0C5E">
      <w:pPr>
        <w:spacing w:after="0"/>
        <w:ind w:left="720"/>
        <w:rPr>
          <w:rStyle w:val="ng-scope"/>
          <w:i/>
          <w:sz w:val="18"/>
          <w:szCs w:val="18"/>
        </w:rPr>
      </w:pPr>
    </w:p>
    <w:p w14:paraId="039F0D95" w14:textId="77777777" w:rsidR="00ED0C5E" w:rsidRPr="00255809" w:rsidRDefault="00ED0C5E" w:rsidP="00ED0C5E">
      <w:pPr>
        <w:spacing w:after="0"/>
        <w:ind w:left="720"/>
        <w:rPr>
          <w:rStyle w:val="ng-scope"/>
          <w:sz w:val="18"/>
          <w:szCs w:val="18"/>
        </w:rPr>
      </w:pPr>
      <w:r w:rsidRPr="00255809">
        <w:rPr>
          <w:rStyle w:val="ng-scope"/>
          <w:i/>
          <w:sz w:val="18"/>
          <w:szCs w:val="18"/>
        </w:rPr>
        <w:t>I would also like the option to change the masters I already got into a masters of science!</w:t>
      </w:r>
    </w:p>
    <w:p w14:paraId="07D8C448" w14:textId="77777777" w:rsidR="00ED0C5E" w:rsidRPr="00255809" w:rsidRDefault="00ED0C5E" w:rsidP="00ED0C5E">
      <w:pPr>
        <w:spacing w:after="0"/>
        <w:ind w:left="720"/>
        <w:jc w:val="right"/>
        <w:rPr>
          <w:rStyle w:val="ng-scope"/>
          <w:sz w:val="18"/>
          <w:szCs w:val="18"/>
        </w:rPr>
      </w:pPr>
      <w:r w:rsidRPr="00255809">
        <w:rPr>
          <w:rStyle w:val="ng-scope"/>
          <w:sz w:val="18"/>
          <w:szCs w:val="18"/>
        </w:rPr>
        <w:t>Decision Graduate Student</w:t>
      </w:r>
    </w:p>
    <w:p w14:paraId="21EEA5A5" w14:textId="77777777" w:rsidR="00ED0C5E" w:rsidRPr="00255809" w:rsidRDefault="00ED0C5E" w:rsidP="00255809">
      <w:pPr>
        <w:spacing w:after="0"/>
        <w:rPr>
          <w:rStyle w:val="ng-scope"/>
          <w:sz w:val="18"/>
          <w:szCs w:val="18"/>
        </w:rPr>
      </w:pPr>
    </w:p>
    <w:p w14:paraId="5B557A37" w14:textId="77777777" w:rsidR="00ED0C5E" w:rsidRPr="00255809" w:rsidRDefault="00ED0C5E" w:rsidP="00ED0C5E">
      <w:pPr>
        <w:spacing w:after="0"/>
        <w:ind w:left="720"/>
        <w:rPr>
          <w:rStyle w:val="ng-scope"/>
          <w:sz w:val="18"/>
          <w:szCs w:val="18"/>
        </w:rPr>
      </w:pPr>
      <w:r w:rsidRPr="00255809">
        <w:rPr>
          <w:rStyle w:val="ng-scope"/>
          <w:i/>
          <w:sz w:val="18"/>
          <w:szCs w:val="18"/>
        </w:rPr>
        <w:t>A change to an MS would be a wise revision. Fair or not, MS degrees carry a more prestigious connotation than MA degrees, and would grant more legitimacy to psychologists being perceived as scientists</w:t>
      </w:r>
    </w:p>
    <w:p w14:paraId="793E708F" w14:textId="77777777" w:rsidR="00ED0C5E" w:rsidRPr="00255809" w:rsidRDefault="00ED0C5E" w:rsidP="00ED0C5E">
      <w:pPr>
        <w:spacing w:after="0"/>
        <w:ind w:left="720"/>
        <w:jc w:val="right"/>
        <w:rPr>
          <w:rStyle w:val="ng-scope"/>
          <w:sz w:val="18"/>
          <w:szCs w:val="18"/>
        </w:rPr>
      </w:pPr>
      <w:r w:rsidRPr="00255809">
        <w:rPr>
          <w:rStyle w:val="ng-scope"/>
          <w:sz w:val="18"/>
          <w:szCs w:val="18"/>
        </w:rPr>
        <w:t>Clinical Graduate Student</w:t>
      </w:r>
    </w:p>
    <w:p w14:paraId="6B712352" w14:textId="77777777" w:rsidR="00ED0C5E" w:rsidRPr="00255809" w:rsidRDefault="00ED0C5E" w:rsidP="00ED0C5E">
      <w:pPr>
        <w:spacing w:after="0"/>
        <w:ind w:left="720"/>
        <w:rPr>
          <w:rStyle w:val="ng-scope"/>
          <w:i/>
          <w:sz w:val="18"/>
          <w:szCs w:val="18"/>
        </w:rPr>
      </w:pPr>
    </w:p>
    <w:p w14:paraId="6E64E6EA" w14:textId="77777777" w:rsidR="00ED0C5E" w:rsidRPr="00255809" w:rsidRDefault="00ED0C5E" w:rsidP="00ED0C5E">
      <w:pPr>
        <w:spacing w:after="0"/>
        <w:ind w:left="720"/>
        <w:rPr>
          <w:rStyle w:val="ng-scope"/>
          <w:sz w:val="18"/>
          <w:szCs w:val="18"/>
        </w:rPr>
      </w:pPr>
      <w:r w:rsidRPr="00255809">
        <w:rPr>
          <w:rStyle w:val="ng-scope"/>
          <w:i/>
          <w:sz w:val="18"/>
          <w:szCs w:val="18"/>
        </w:rPr>
        <w:t>If requirements/curriculum do not change, would there be potential to change MA to MS for students that have already received their degree</w:t>
      </w:r>
      <w:r w:rsidR="00255809" w:rsidRPr="00255809">
        <w:rPr>
          <w:rStyle w:val="ng-scope"/>
          <w:i/>
          <w:sz w:val="18"/>
          <w:szCs w:val="18"/>
        </w:rPr>
        <w:t>?</w:t>
      </w:r>
    </w:p>
    <w:p w14:paraId="2FFB8F07" w14:textId="77777777" w:rsidR="00ED0C5E" w:rsidRPr="00255809" w:rsidRDefault="00ED0C5E" w:rsidP="00ED0C5E">
      <w:pPr>
        <w:spacing w:after="0"/>
        <w:ind w:left="720"/>
        <w:jc w:val="right"/>
        <w:rPr>
          <w:rStyle w:val="ng-scope"/>
          <w:sz w:val="18"/>
          <w:szCs w:val="18"/>
        </w:rPr>
      </w:pPr>
      <w:r w:rsidRPr="00255809">
        <w:rPr>
          <w:rStyle w:val="ng-scope"/>
          <w:sz w:val="18"/>
          <w:szCs w:val="18"/>
        </w:rPr>
        <w:t>Clinical Graduate Student</w:t>
      </w:r>
    </w:p>
    <w:p w14:paraId="60AAC84C" w14:textId="77777777" w:rsidR="00ED0C5E" w:rsidRPr="00255809" w:rsidRDefault="00ED0C5E" w:rsidP="00ED0C5E">
      <w:pPr>
        <w:spacing w:after="0"/>
        <w:ind w:left="720"/>
        <w:jc w:val="right"/>
        <w:rPr>
          <w:rStyle w:val="ng-scope"/>
          <w:sz w:val="18"/>
          <w:szCs w:val="18"/>
        </w:rPr>
      </w:pPr>
    </w:p>
    <w:p w14:paraId="12D2F3C3" w14:textId="77777777" w:rsidR="00ED0C5E" w:rsidRPr="00255809" w:rsidRDefault="00ED0C5E" w:rsidP="00ED0C5E">
      <w:pPr>
        <w:spacing w:after="0"/>
        <w:ind w:left="720"/>
        <w:rPr>
          <w:rStyle w:val="ng-scope"/>
          <w:sz w:val="18"/>
          <w:szCs w:val="18"/>
        </w:rPr>
      </w:pPr>
      <w:r w:rsidRPr="00255809">
        <w:rPr>
          <w:rStyle w:val="ng-scope"/>
          <w:i/>
          <w:sz w:val="18"/>
          <w:szCs w:val="18"/>
        </w:rPr>
        <w:t>My bachelor degree in psychology is a BS, and I am doing even more scientific/research work now. An MS truly better reflects the nature and rigor of the program.</w:t>
      </w:r>
    </w:p>
    <w:p w14:paraId="41DE45C0" w14:textId="77777777" w:rsidR="00ED0C5E" w:rsidRPr="00255809" w:rsidRDefault="00ED0C5E" w:rsidP="00ED0C5E">
      <w:pPr>
        <w:spacing w:after="0"/>
        <w:ind w:left="720"/>
        <w:jc w:val="right"/>
        <w:rPr>
          <w:rStyle w:val="ng-scope"/>
          <w:sz w:val="18"/>
          <w:szCs w:val="18"/>
        </w:rPr>
      </w:pPr>
      <w:r w:rsidRPr="00255809">
        <w:rPr>
          <w:rStyle w:val="ng-scope"/>
          <w:sz w:val="18"/>
          <w:szCs w:val="18"/>
        </w:rPr>
        <w:t>IDD Graduate Student</w:t>
      </w:r>
    </w:p>
    <w:p w14:paraId="07269C4A" w14:textId="77777777" w:rsidR="00ED0C5E" w:rsidRPr="00255809" w:rsidRDefault="00ED0C5E" w:rsidP="00ED0C5E">
      <w:pPr>
        <w:spacing w:after="0"/>
        <w:ind w:left="720"/>
        <w:rPr>
          <w:rStyle w:val="ng-scope"/>
          <w:i/>
          <w:sz w:val="18"/>
          <w:szCs w:val="18"/>
        </w:rPr>
      </w:pPr>
    </w:p>
    <w:p w14:paraId="6F466592" w14:textId="77777777" w:rsidR="00ED0C5E" w:rsidRPr="00255809" w:rsidRDefault="00ED0C5E" w:rsidP="00ED0C5E">
      <w:pPr>
        <w:spacing w:after="0"/>
        <w:ind w:left="720"/>
        <w:rPr>
          <w:rStyle w:val="ng-scope"/>
          <w:sz w:val="18"/>
          <w:szCs w:val="18"/>
        </w:rPr>
      </w:pPr>
      <w:r w:rsidRPr="00255809">
        <w:rPr>
          <w:rStyle w:val="ng-scope"/>
          <w:i/>
          <w:sz w:val="18"/>
          <w:szCs w:val="18"/>
        </w:rPr>
        <w:t>This won't affect me at this point, but getting a Master of "Arts" did feel odd/disjointed with the type of work I was doing in order to earn the degree</w:t>
      </w:r>
    </w:p>
    <w:p w14:paraId="7AB3960F" w14:textId="77777777" w:rsidR="00ED0C5E" w:rsidRPr="00255809" w:rsidRDefault="00ED0C5E" w:rsidP="00ED0C5E">
      <w:pPr>
        <w:spacing w:after="0"/>
        <w:ind w:left="720"/>
        <w:jc w:val="right"/>
        <w:rPr>
          <w:rStyle w:val="ng-scope"/>
          <w:sz w:val="18"/>
          <w:szCs w:val="18"/>
        </w:rPr>
      </w:pPr>
      <w:r w:rsidRPr="00255809">
        <w:rPr>
          <w:rStyle w:val="ng-scope"/>
          <w:sz w:val="18"/>
          <w:szCs w:val="18"/>
        </w:rPr>
        <w:t>Social Graduate Student</w:t>
      </w:r>
    </w:p>
    <w:p w14:paraId="5690BFC0" w14:textId="77777777" w:rsidR="00255809" w:rsidRDefault="00255809" w:rsidP="00255809">
      <w:pPr>
        <w:spacing w:after="0"/>
      </w:pPr>
    </w:p>
    <w:p w14:paraId="0A18FDCC" w14:textId="13368A74" w:rsidR="00533578" w:rsidRDefault="00255809" w:rsidP="00255809">
      <w:pPr>
        <w:spacing w:after="0"/>
      </w:pPr>
      <w:r>
        <w:t xml:space="preserve">At the </w:t>
      </w:r>
      <w:r w:rsidR="00F52100">
        <w:t>January</w:t>
      </w:r>
      <w:r>
        <w:t xml:space="preserve"> 2018 faculty meeting, Professor Andrew F. Hayes, co-Director of Graduate Studies, and Professor John </w:t>
      </w:r>
      <w:r w:rsidR="00133C38">
        <w:t>P. Bruno, Chair of the D</w:t>
      </w:r>
      <w:r>
        <w:t xml:space="preserve">epartment, presented these findings to the faculty. </w:t>
      </w:r>
      <w:r w:rsidR="001E74D5">
        <w:t xml:space="preserve"> </w:t>
      </w:r>
      <w:r>
        <w:t>Some discussion occurred.  Following discussion</w:t>
      </w:r>
      <w:r w:rsidR="00123C27">
        <w:t>,</w:t>
      </w:r>
      <w:r>
        <w:t xml:space="preserve"> Professor Bruno called for a vote by show of hands who supported and who opposed the proposal.  Support </w:t>
      </w:r>
      <w:r w:rsidR="001E74D5">
        <w:t>for this proposal was unanimous</w:t>
      </w:r>
      <w:bookmarkStart w:id="0" w:name="_GoBack"/>
      <w:bookmarkEnd w:id="0"/>
      <w:r>
        <w:t xml:space="preserve">.  </w:t>
      </w:r>
    </w:p>
    <w:p w14:paraId="7BCD34CD" w14:textId="77777777" w:rsidR="00255809" w:rsidRDefault="00255809" w:rsidP="00255809">
      <w:pPr>
        <w:spacing w:after="0"/>
      </w:pPr>
    </w:p>
    <w:p w14:paraId="5B8AB959" w14:textId="77777777" w:rsidR="001E74D5" w:rsidRDefault="001E74D5" w:rsidP="00255809">
      <w:pPr>
        <w:spacing w:after="0"/>
      </w:pPr>
    </w:p>
    <w:p w14:paraId="0A6F976F" w14:textId="77777777" w:rsidR="006C05DE" w:rsidRPr="00255809" w:rsidRDefault="008F0266" w:rsidP="00533578">
      <w:pPr>
        <w:jc w:val="center"/>
        <w:rPr>
          <w:b/>
        </w:rPr>
      </w:pPr>
      <w:r w:rsidRPr="00255809">
        <w:rPr>
          <w:b/>
        </w:rPr>
        <w:t xml:space="preserve">MA </w:t>
      </w:r>
      <w:proofErr w:type="spellStart"/>
      <w:r w:rsidRPr="00255809">
        <w:rPr>
          <w:b/>
        </w:rPr>
        <w:t>vs</w:t>
      </w:r>
      <w:proofErr w:type="spellEnd"/>
      <w:r w:rsidRPr="00255809">
        <w:rPr>
          <w:b/>
        </w:rPr>
        <w:t xml:space="preserve"> MS in other </w:t>
      </w:r>
      <w:r w:rsidR="00533578" w:rsidRPr="00255809">
        <w:rPr>
          <w:b/>
        </w:rPr>
        <w:t>Departments and I</w:t>
      </w:r>
      <w:r w:rsidRPr="00255809">
        <w:rPr>
          <w:b/>
        </w:rPr>
        <w:t>nstitutions</w:t>
      </w:r>
    </w:p>
    <w:p w14:paraId="761133A5" w14:textId="1CBF0809" w:rsidR="008F0266" w:rsidRDefault="00D26FBB" w:rsidP="00F52100">
      <w:r>
        <w:t>At OSU and other universities, the m</w:t>
      </w:r>
      <w:r w:rsidR="008F0266">
        <w:t>aster</w:t>
      </w:r>
      <w:r>
        <w:t xml:space="preserve">’s degree </w:t>
      </w:r>
      <w:r w:rsidR="008F0266">
        <w:t xml:space="preserve">is frequently awarded to students who complete the kind of graduate training program we offer.  </w:t>
      </w:r>
      <w:r w:rsidR="00F52100">
        <w:t>However,</w:t>
      </w:r>
      <w:r>
        <w:t xml:space="preserve"> there are inconsistencies </w:t>
      </w:r>
      <w:r w:rsidR="00F52100">
        <w:t xml:space="preserve">in the name of the degree even though the differences in the training and curriculum, if any, seem minor.  For instance, the </w:t>
      </w:r>
      <w:proofErr w:type="gramStart"/>
      <w:r w:rsidR="008F0266">
        <w:t>majority of SBS departments at OSU require</w:t>
      </w:r>
      <w:proofErr w:type="gramEnd"/>
      <w:r w:rsidR="008F0266">
        <w:t xml:space="preserve"> training in data analysis, theory development, and use the scientific method to answers questions relevant to their discipline.  </w:t>
      </w:r>
      <w:r w:rsidR="00F52100">
        <w:t>Yet some offer an MA</w:t>
      </w:r>
      <w:r w:rsidR="008F0266">
        <w:t xml:space="preserve"> </w:t>
      </w:r>
      <w:r w:rsidR="00F52100">
        <w:t>whereas</w:t>
      </w:r>
      <w:r w:rsidR="008F0266">
        <w:t xml:space="preserve"> others offer an MS</w:t>
      </w:r>
      <w:r w:rsidR="00F52100">
        <w:t xml:space="preserve">, </w:t>
      </w:r>
      <w:r w:rsidR="008F0266">
        <w:t>either as a termin</w:t>
      </w:r>
      <w:r w:rsidR="00C61F30">
        <w:t>al degree or i</w:t>
      </w:r>
      <w:r w:rsidR="00F52100">
        <w:t>n route to the PhD.</w:t>
      </w:r>
      <w:r w:rsidR="008F0266">
        <w:t xml:space="preserve"> </w:t>
      </w:r>
    </w:p>
    <w:p w14:paraId="0CF7353C" w14:textId="3C1A8A28" w:rsidR="00AA78E9" w:rsidRDefault="001E74D5" w:rsidP="009C5DFD">
      <w:r>
        <w:t xml:space="preserve">There is a similar mixed-practice in </w:t>
      </w:r>
      <w:r w:rsidR="00AA78E9">
        <w:t>psychology departments at univer</w:t>
      </w:r>
      <w:r w:rsidR="00F52100">
        <w:t xml:space="preserve">sities in </w:t>
      </w:r>
      <w:r>
        <w:t xml:space="preserve">the state of </w:t>
      </w:r>
      <w:r w:rsidR="00F52100">
        <w:t>Ohio</w:t>
      </w:r>
      <w:r>
        <w:t>.  Of those that</w:t>
      </w:r>
      <w:r w:rsidR="00D26FBB">
        <w:t xml:space="preserve"> </w:t>
      </w:r>
      <w:r w:rsidR="00F52100">
        <w:t>award a PhD</w:t>
      </w:r>
      <w:r w:rsidR="00D26FBB">
        <w:t xml:space="preserve"> as well as</w:t>
      </w:r>
      <w:r>
        <w:t xml:space="preserve"> a M</w:t>
      </w:r>
      <w:r w:rsidR="00D26FBB">
        <w:t xml:space="preserve">aster’s in route to the PhD, </w:t>
      </w:r>
      <w:r w:rsidR="00AA78E9">
        <w:t>including Ohi</w:t>
      </w:r>
      <w:r w:rsidR="00F52100">
        <w:t>o University, University of Cin</w:t>
      </w:r>
      <w:r w:rsidR="00AA78E9">
        <w:t>cinnati, Miami University, and Case Western Reserve University.  Of the</w:t>
      </w:r>
      <w:r w:rsidR="00F52100">
        <w:t>se, Ohio University awards an MS</w:t>
      </w:r>
      <w:r w:rsidR="00AA78E9">
        <w:t xml:space="preserve"> in Psycholog</w:t>
      </w:r>
      <w:r w:rsidR="00F52100">
        <w:t xml:space="preserve">y, whereas University of </w:t>
      </w:r>
      <w:r w:rsidR="00D26FBB">
        <w:t>Cincinnati</w:t>
      </w:r>
      <w:r w:rsidR="00AA78E9">
        <w:t xml:space="preserve"> and Miami University award the </w:t>
      </w:r>
      <w:r w:rsidR="00F52100">
        <w:t>MA.</w:t>
      </w:r>
    </w:p>
    <w:p w14:paraId="02C1EEAE" w14:textId="77777777" w:rsidR="00AA78E9" w:rsidRDefault="00AA78E9" w:rsidP="009C5DFD">
      <w:r>
        <w:t>Like Ohio State, all other psychology departments at Big 10 universities award a Master’s degr</w:t>
      </w:r>
      <w:r w:rsidR="00C61F30">
        <w:t>ee to students enrolled in a PhD</w:t>
      </w:r>
      <w:r>
        <w:t xml:space="preserve"> programs, though they differ </w:t>
      </w:r>
      <w:r w:rsidR="008F0266">
        <w:t>when the degree is awarded</w:t>
      </w:r>
      <w:r>
        <w:t xml:space="preserve"> (e.g., some award </w:t>
      </w:r>
      <w:r>
        <w:lastRenderedPageBreak/>
        <w:t>it following the candidacy exam</w:t>
      </w:r>
      <w:r w:rsidR="008F0266">
        <w:t xml:space="preserve"> in the third year</w:t>
      </w:r>
      <w:r>
        <w:t>, some following the completion of a thesis in the 2</w:t>
      </w:r>
      <w:r w:rsidRPr="00AA78E9">
        <w:rPr>
          <w:vertAlign w:val="superscript"/>
        </w:rPr>
        <w:t>nd</w:t>
      </w:r>
      <w:r>
        <w:t xml:space="preserve"> year).  Wisconsin, Michigan, Penn State, Maryland, Illinois, and Purdue award the </w:t>
      </w:r>
      <w:r w:rsidR="00ED0C5E" w:rsidRPr="00C61F30">
        <w:t>MS</w:t>
      </w:r>
      <w:r>
        <w:t>, while Iowa, Ohio State, Rutgers, Northwestern and Nebraska award the M</w:t>
      </w:r>
      <w:r w:rsidR="00ED0C5E">
        <w:t>A</w:t>
      </w:r>
      <w:r>
        <w:t xml:space="preserve">. </w:t>
      </w:r>
      <w:r w:rsidR="00C61F30">
        <w:t xml:space="preserve"> As within SBS at OSU, f</w:t>
      </w:r>
      <w:r>
        <w:t>rom what we can discern, the difference between universities</w:t>
      </w:r>
      <w:r w:rsidR="008F0266">
        <w:t xml:space="preserve"> in the names of their degrees</w:t>
      </w:r>
      <w:r>
        <w:t xml:space="preserve"> does not reflect differences in the kinds of activities that justify the degree.  All are science-oriented graduate programs that require the collection and analysis of da</w:t>
      </w:r>
      <w:r w:rsidR="008F0266">
        <w:t xml:space="preserve">ta using the scientific method, just as </w:t>
      </w:r>
      <w:r w:rsidR="00ED0C5E">
        <w:t xml:space="preserve">we </w:t>
      </w:r>
      <w:r w:rsidR="00C61F30">
        <w:t>require</w:t>
      </w:r>
      <w:r w:rsidR="00ED0C5E">
        <w:t xml:space="preserve"> at OSU.</w:t>
      </w:r>
    </w:p>
    <w:p w14:paraId="5076E3DB" w14:textId="77777777" w:rsidR="001E74D5" w:rsidRDefault="001E74D5" w:rsidP="009C5DFD"/>
    <w:p w14:paraId="64EE3F4F" w14:textId="77777777" w:rsidR="00123C27" w:rsidRDefault="00123C27" w:rsidP="00123C27">
      <w:pPr>
        <w:jc w:val="center"/>
        <w:rPr>
          <w:b/>
        </w:rPr>
      </w:pPr>
      <w:r w:rsidRPr="00123C27">
        <w:rPr>
          <w:b/>
        </w:rPr>
        <w:t>Summary</w:t>
      </w:r>
    </w:p>
    <w:p w14:paraId="22FF9916" w14:textId="5D66EBF4" w:rsidR="00123C27" w:rsidRPr="00DD170F" w:rsidRDefault="00123C27" w:rsidP="00123C27">
      <w:r w:rsidRPr="00DD170F">
        <w:t>Psychology is a scientific disci</w:t>
      </w:r>
      <w:r w:rsidR="003E630D">
        <w:t>pline.  Graduate students in our</w:t>
      </w:r>
      <w:r w:rsidR="001E74D5">
        <w:t xml:space="preserve"> D</w:t>
      </w:r>
      <w:r w:rsidRPr="00DD170F">
        <w:t>epartment engage in</w:t>
      </w:r>
      <w:r w:rsidR="00DD170F" w:rsidRPr="00DD170F">
        <w:t xml:space="preserve"> scientific research in order to advance our understanding of the human experience.  From the first semester</w:t>
      </w:r>
      <w:r w:rsidR="00C61F30">
        <w:t xml:space="preserve"> of</w:t>
      </w:r>
      <w:r w:rsidR="00DD170F" w:rsidRPr="00DD170F">
        <w:t xml:space="preserve"> enrollment until the completion of their degree, they contemplate and create theory, collect data, use statistical methods to analyze that data, and present their work at scientific conferences and publish in empirical journals.  All students in our program, regardless of area, earn a Mas</w:t>
      </w:r>
      <w:r w:rsidR="00C61F30">
        <w:t>ter’s degree in route to the Ph</w:t>
      </w:r>
      <w:r w:rsidR="00DD170F" w:rsidRPr="00DD170F">
        <w:t>D.  Yet the degree awarded is a Master of Arts rather than Master of Science.  We do not know the o</w:t>
      </w:r>
      <w:r w:rsidR="001E74D5">
        <w:t>rigins of the decision for the U</w:t>
      </w:r>
      <w:r w:rsidR="00DD170F" w:rsidRPr="00DD170F">
        <w:t>niversity to c</w:t>
      </w:r>
      <w:r w:rsidR="00D26FBB">
        <w:t>onfer the MA rather than the MS to graduate stude</w:t>
      </w:r>
      <w:r w:rsidR="001E74D5">
        <w:t>nts in P</w:t>
      </w:r>
      <w:r w:rsidR="00D26FBB">
        <w:t>sychology.</w:t>
      </w:r>
      <w:r w:rsidR="00DD170F" w:rsidRPr="00DD170F">
        <w:t xml:space="preserve">  But</w:t>
      </w:r>
      <w:r w:rsidR="00C61F30">
        <w:t xml:space="preserve"> as our students and faculty recognize,</w:t>
      </w:r>
      <w:r w:rsidR="00DD170F" w:rsidRPr="00DD170F">
        <w:t xml:space="preserve"> the M</w:t>
      </w:r>
      <w:r w:rsidR="00C61F30">
        <w:t>A</w:t>
      </w:r>
      <w:r w:rsidR="00DD170F" w:rsidRPr="00DD170F">
        <w:t xml:space="preserve"> is not consistent in name with the work </w:t>
      </w:r>
      <w:r w:rsidR="00C61F30">
        <w:t>required in our program</w:t>
      </w:r>
      <w:r w:rsidR="00DD170F" w:rsidRPr="00DD170F">
        <w:t>, and for those who leave OS</w:t>
      </w:r>
      <w:r w:rsidR="00C61F30">
        <w:t>U prior to completion of the PhD</w:t>
      </w:r>
      <w:r w:rsidR="00DD170F" w:rsidRPr="00DD170F">
        <w:t xml:space="preserve">, having an MA rather than an MS likely makes them less competitive </w:t>
      </w:r>
      <w:r w:rsidR="00C61F30">
        <w:t xml:space="preserve">relative to graduates of MS-granting programs </w:t>
      </w:r>
      <w:r w:rsidR="00DD170F" w:rsidRPr="00DD170F">
        <w:t xml:space="preserve">when searching for jobs for which they are trained and qualified.  The faculty and </w:t>
      </w:r>
      <w:r w:rsidR="00D26FBB">
        <w:t xml:space="preserve">graduate </w:t>
      </w:r>
      <w:r w:rsidR="00DD170F" w:rsidRPr="00DD170F">
        <w:t xml:space="preserve">students strongly believe that it </w:t>
      </w:r>
      <w:r w:rsidR="00D26FBB">
        <w:t xml:space="preserve">is </w:t>
      </w:r>
      <w:r w:rsidR="00DD170F" w:rsidRPr="00DD170F">
        <w:t xml:space="preserve">past time that the scientific contributions and accomplishments of our students </w:t>
      </w:r>
      <w:proofErr w:type="gramStart"/>
      <w:r w:rsidR="00DD170F" w:rsidRPr="00DD170F">
        <w:t>be</w:t>
      </w:r>
      <w:proofErr w:type="gramEnd"/>
      <w:r w:rsidR="00DD170F" w:rsidRPr="00DD170F">
        <w:t xml:space="preserve"> recognized by conferring on them the </w:t>
      </w:r>
      <w:r w:rsidR="00D26FBB">
        <w:t>Master of Science rather than the Master of Arts.</w:t>
      </w:r>
    </w:p>
    <w:p w14:paraId="42A0B43D" w14:textId="77777777" w:rsidR="00FA269D" w:rsidRPr="00351B0F" w:rsidRDefault="00FA269D" w:rsidP="00351B0F">
      <w:pPr>
        <w:spacing w:after="0"/>
        <w:jc w:val="right"/>
      </w:pPr>
    </w:p>
    <w:sectPr w:rsidR="00FA269D" w:rsidRPr="00351B0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EEA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d0637cf4e06485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36"/>
    <w:rsid w:val="000102E7"/>
    <w:rsid w:val="00031404"/>
    <w:rsid w:val="00123C27"/>
    <w:rsid w:val="00133C38"/>
    <w:rsid w:val="001D5163"/>
    <w:rsid w:val="001E74D5"/>
    <w:rsid w:val="001F605F"/>
    <w:rsid w:val="00255809"/>
    <w:rsid w:val="00306CF8"/>
    <w:rsid w:val="00313A4B"/>
    <w:rsid w:val="00351B0F"/>
    <w:rsid w:val="0039312A"/>
    <w:rsid w:val="003A093D"/>
    <w:rsid w:val="003B4D1A"/>
    <w:rsid w:val="003E08FA"/>
    <w:rsid w:val="003E630D"/>
    <w:rsid w:val="004C18EC"/>
    <w:rsid w:val="00530218"/>
    <w:rsid w:val="00530375"/>
    <w:rsid w:val="0053223D"/>
    <w:rsid w:val="00533578"/>
    <w:rsid w:val="00552C63"/>
    <w:rsid w:val="005B4B00"/>
    <w:rsid w:val="005C30F9"/>
    <w:rsid w:val="005F6F58"/>
    <w:rsid w:val="00626589"/>
    <w:rsid w:val="006C05DE"/>
    <w:rsid w:val="006D6758"/>
    <w:rsid w:val="00735225"/>
    <w:rsid w:val="00763758"/>
    <w:rsid w:val="00787C91"/>
    <w:rsid w:val="007C2F9F"/>
    <w:rsid w:val="008207A3"/>
    <w:rsid w:val="00872C11"/>
    <w:rsid w:val="008F0266"/>
    <w:rsid w:val="009A4E49"/>
    <w:rsid w:val="009C499A"/>
    <w:rsid w:val="009C5DFD"/>
    <w:rsid w:val="00A26DC6"/>
    <w:rsid w:val="00A61B42"/>
    <w:rsid w:val="00A92295"/>
    <w:rsid w:val="00AA78E9"/>
    <w:rsid w:val="00AC1775"/>
    <w:rsid w:val="00B10136"/>
    <w:rsid w:val="00B23F42"/>
    <w:rsid w:val="00B23F92"/>
    <w:rsid w:val="00BC04EE"/>
    <w:rsid w:val="00C075AC"/>
    <w:rsid w:val="00C5219E"/>
    <w:rsid w:val="00C61F30"/>
    <w:rsid w:val="00D259A9"/>
    <w:rsid w:val="00D26FBB"/>
    <w:rsid w:val="00DD170F"/>
    <w:rsid w:val="00DF3365"/>
    <w:rsid w:val="00E57590"/>
    <w:rsid w:val="00EB4901"/>
    <w:rsid w:val="00EB7374"/>
    <w:rsid w:val="00ED0C5E"/>
    <w:rsid w:val="00EE74AA"/>
    <w:rsid w:val="00EF612F"/>
    <w:rsid w:val="00F04FCC"/>
    <w:rsid w:val="00F26D6A"/>
    <w:rsid w:val="00F52100"/>
    <w:rsid w:val="00FA269D"/>
    <w:rsid w:val="00FD0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B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10136"/>
  </w:style>
  <w:style w:type="table" w:styleId="TableGrid">
    <w:name w:val="Table Grid"/>
    <w:basedOn w:val="TableNormal"/>
    <w:uiPriority w:val="59"/>
    <w:rsid w:val="00532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DefaultParagraphFont"/>
    <w:rsid w:val="00EE74AA"/>
  </w:style>
  <w:style w:type="character" w:styleId="CommentReference">
    <w:name w:val="annotation reference"/>
    <w:basedOn w:val="DefaultParagraphFont"/>
    <w:uiPriority w:val="99"/>
    <w:semiHidden/>
    <w:unhideWhenUsed/>
    <w:rsid w:val="00123C27"/>
    <w:rPr>
      <w:sz w:val="16"/>
      <w:szCs w:val="16"/>
    </w:rPr>
  </w:style>
  <w:style w:type="paragraph" w:styleId="CommentText">
    <w:name w:val="annotation text"/>
    <w:basedOn w:val="Normal"/>
    <w:link w:val="CommentTextChar"/>
    <w:uiPriority w:val="99"/>
    <w:semiHidden/>
    <w:unhideWhenUsed/>
    <w:rsid w:val="00123C27"/>
    <w:pPr>
      <w:spacing w:line="240" w:lineRule="auto"/>
    </w:pPr>
    <w:rPr>
      <w:sz w:val="20"/>
      <w:szCs w:val="20"/>
    </w:rPr>
  </w:style>
  <w:style w:type="character" w:customStyle="1" w:styleId="CommentTextChar">
    <w:name w:val="Comment Text Char"/>
    <w:basedOn w:val="DefaultParagraphFont"/>
    <w:link w:val="CommentText"/>
    <w:uiPriority w:val="99"/>
    <w:semiHidden/>
    <w:rsid w:val="00123C27"/>
    <w:rPr>
      <w:sz w:val="20"/>
      <w:szCs w:val="20"/>
    </w:rPr>
  </w:style>
  <w:style w:type="paragraph" w:styleId="CommentSubject">
    <w:name w:val="annotation subject"/>
    <w:basedOn w:val="CommentText"/>
    <w:next w:val="CommentText"/>
    <w:link w:val="CommentSubjectChar"/>
    <w:uiPriority w:val="99"/>
    <w:semiHidden/>
    <w:unhideWhenUsed/>
    <w:rsid w:val="00123C27"/>
    <w:rPr>
      <w:b/>
      <w:bCs/>
    </w:rPr>
  </w:style>
  <w:style w:type="character" w:customStyle="1" w:styleId="CommentSubjectChar">
    <w:name w:val="Comment Subject Char"/>
    <w:basedOn w:val="CommentTextChar"/>
    <w:link w:val="CommentSubject"/>
    <w:uiPriority w:val="99"/>
    <w:semiHidden/>
    <w:rsid w:val="00123C27"/>
    <w:rPr>
      <w:b/>
      <w:bCs/>
      <w:sz w:val="20"/>
      <w:szCs w:val="20"/>
    </w:rPr>
  </w:style>
  <w:style w:type="paragraph" w:styleId="Revision">
    <w:name w:val="Revision"/>
    <w:hidden/>
    <w:uiPriority w:val="99"/>
    <w:semiHidden/>
    <w:rsid w:val="00123C27"/>
    <w:pPr>
      <w:spacing w:after="0" w:line="240" w:lineRule="auto"/>
    </w:pPr>
  </w:style>
  <w:style w:type="paragraph" w:styleId="BalloonText">
    <w:name w:val="Balloon Text"/>
    <w:basedOn w:val="Normal"/>
    <w:link w:val="BalloonTextChar"/>
    <w:uiPriority w:val="99"/>
    <w:semiHidden/>
    <w:unhideWhenUsed/>
    <w:rsid w:val="00123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2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10136"/>
  </w:style>
  <w:style w:type="table" w:styleId="TableGrid">
    <w:name w:val="Table Grid"/>
    <w:basedOn w:val="TableNormal"/>
    <w:uiPriority w:val="59"/>
    <w:rsid w:val="00532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scope">
    <w:name w:val="ng-scope"/>
    <w:basedOn w:val="DefaultParagraphFont"/>
    <w:rsid w:val="00EE74AA"/>
  </w:style>
  <w:style w:type="character" w:styleId="CommentReference">
    <w:name w:val="annotation reference"/>
    <w:basedOn w:val="DefaultParagraphFont"/>
    <w:uiPriority w:val="99"/>
    <w:semiHidden/>
    <w:unhideWhenUsed/>
    <w:rsid w:val="00123C27"/>
    <w:rPr>
      <w:sz w:val="16"/>
      <w:szCs w:val="16"/>
    </w:rPr>
  </w:style>
  <w:style w:type="paragraph" w:styleId="CommentText">
    <w:name w:val="annotation text"/>
    <w:basedOn w:val="Normal"/>
    <w:link w:val="CommentTextChar"/>
    <w:uiPriority w:val="99"/>
    <w:semiHidden/>
    <w:unhideWhenUsed/>
    <w:rsid w:val="00123C27"/>
    <w:pPr>
      <w:spacing w:line="240" w:lineRule="auto"/>
    </w:pPr>
    <w:rPr>
      <w:sz w:val="20"/>
      <w:szCs w:val="20"/>
    </w:rPr>
  </w:style>
  <w:style w:type="character" w:customStyle="1" w:styleId="CommentTextChar">
    <w:name w:val="Comment Text Char"/>
    <w:basedOn w:val="DefaultParagraphFont"/>
    <w:link w:val="CommentText"/>
    <w:uiPriority w:val="99"/>
    <w:semiHidden/>
    <w:rsid w:val="00123C27"/>
    <w:rPr>
      <w:sz w:val="20"/>
      <w:szCs w:val="20"/>
    </w:rPr>
  </w:style>
  <w:style w:type="paragraph" w:styleId="CommentSubject">
    <w:name w:val="annotation subject"/>
    <w:basedOn w:val="CommentText"/>
    <w:next w:val="CommentText"/>
    <w:link w:val="CommentSubjectChar"/>
    <w:uiPriority w:val="99"/>
    <w:semiHidden/>
    <w:unhideWhenUsed/>
    <w:rsid w:val="00123C27"/>
    <w:rPr>
      <w:b/>
      <w:bCs/>
    </w:rPr>
  </w:style>
  <w:style w:type="character" w:customStyle="1" w:styleId="CommentSubjectChar">
    <w:name w:val="Comment Subject Char"/>
    <w:basedOn w:val="CommentTextChar"/>
    <w:link w:val="CommentSubject"/>
    <w:uiPriority w:val="99"/>
    <w:semiHidden/>
    <w:rsid w:val="00123C27"/>
    <w:rPr>
      <w:b/>
      <w:bCs/>
      <w:sz w:val="20"/>
      <w:szCs w:val="20"/>
    </w:rPr>
  </w:style>
  <w:style w:type="paragraph" w:styleId="Revision">
    <w:name w:val="Revision"/>
    <w:hidden/>
    <w:uiPriority w:val="99"/>
    <w:semiHidden/>
    <w:rsid w:val="00123C27"/>
    <w:pPr>
      <w:spacing w:after="0" w:line="240" w:lineRule="auto"/>
    </w:pPr>
  </w:style>
  <w:style w:type="paragraph" w:styleId="BalloonText">
    <w:name w:val="Balloon Text"/>
    <w:basedOn w:val="Normal"/>
    <w:link w:val="BalloonTextChar"/>
    <w:uiPriority w:val="99"/>
    <w:semiHidden/>
    <w:unhideWhenUsed/>
    <w:rsid w:val="00123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7081">
      <w:bodyDiv w:val="1"/>
      <w:marLeft w:val="0"/>
      <w:marRight w:val="0"/>
      <w:marTop w:val="0"/>
      <w:marBottom w:val="0"/>
      <w:divBdr>
        <w:top w:val="none" w:sz="0" w:space="0" w:color="auto"/>
        <w:left w:val="none" w:sz="0" w:space="0" w:color="auto"/>
        <w:bottom w:val="none" w:sz="0" w:space="0" w:color="auto"/>
        <w:right w:val="none" w:sz="0" w:space="0" w:color="auto"/>
      </w:divBdr>
      <w:divsChild>
        <w:div w:id="328295410">
          <w:marLeft w:val="0"/>
          <w:marRight w:val="0"/>
          <w:marTop w:val="0"/>
          <w:marBottom w:val="0"/>
          <w:divBdr>
            <w:top w:val="none" w:sz="0" w:space="0" w:color="auto"/>
            <w:left w:val="none" w:sz="0" w:space="0" w:color="auto"/>
            <w:bottom w:val="none" w:sz="0" w:space="0" w:color="auto"/>
            <w:right w:val="none" w:sz="0" w:space="0" w:color="auto"/>
          </w:divBdr>
        </w:div>
        <w:div w:id="602030660">
          <w:marLeft w:val="0"/>
          <w:marRight w:val="0"/>
          <w:marTop w:val="0"/>
          <w:marBottom w:val="0"/>
          <w:divBdr>
            <w:top w:val="none" w:sz="0" w:space="0" w:color="auto"/>
            <w:left w:val="none" w:sz="0" w:space="0" w:color="auto"/>
            <w:bottom w:val="none" w:sz="0" w:space="0" w:color="auto"/>
            <w:right w:val="none" w:sz="0" w:space="0" w:color="auto"/>
          </w:divBdr>
          <w:divsChild>
            <w:div w:id="1570191191">
              <w:marLeft w:val="0"/>
              <w:marRight w:val="0"/>
              <w:marTop w:val="0"/>
              <w:marBottom w:val="0"/>
              <w:divBdr>
                <w:top w:val="none" w:sz="0" w:space="0" w:color="auto"/>
                <w:left w:val="none" w:sz="0" w:space="0" w:color="auto"/>
                <w:bottom w:val="none" w:sz="0" w:space="0" w:color="auto"/>
                <w:right w:val="none" w:sz="0" w:space="0" w:color="auto"/>
              </w:divBdr>
              <w:divsChild>
                <w:div w:id="332487242">
                  <w:marLeft w:val="0"/>
                  <w:marRight w:val="0"/>
                  <w:marTop w:val="0"/>
                  <w:marBottom w:val="0"/>
                  <w:divBdr>
                    <w:top w:val="none" w:sz="0" w:space="0" w:color="auto"/>
                    <w:left w:val="none" w:sz="0" w:space="0" w:color="auto"/>
                    <w:bottom w:val="none" w:sz="0" w:space="0" w:color="auto"/>
                    <w:right w:val="none" w:sz="0" w:space="0" w:color="auto"/>
                  </w:divBdr>
                  <w:divsChild>
                    <w:div w:id="1926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2389</Words>
  <Characters>13622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Psychology</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Montoya</dc:creator>
  <cp:lastModifiedBy>John Bruno</cp:lastModifiedBy>
  <cp:revision>3</cp:revision>
  <dcterms:created xsi:type="dcterms:W3CDTF">2018-03-13T19:50:00Z</dcterms:created>
  <dcterms:modified xsi:type="dcterms:W3CDTF">2018-03-13T20:12:00Z</dcterms:modified>
</cp:coreProperties>
</file>